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BBCFF" w14:textId="20C246A0" w:rsidR="00E7363D" w:rsidRPr="001B7E3A" w:rsidRDefault="00E7363D" w:rsidP="00E7363D">
      <w:pPr>
        <w:autoSpaceDE w:val="0"/>
        <w:autoSpaceDN w:val="0"/>
        <w:adjustRightInd w:val="0"/>
        <w:spacing w:after="0" w:line="240" w:lineRule="auto"/>
        <w:jc w:val="center"/>
        <w:rPr>
          <w:rFonts w:eastAsiaTheme="minorHAnsi" w:cstheme="minorHAnsi"/>
          <w:b/>
          <w:bCs/>
          <w:color w:val="000000"/>
          <w:lang w:val="fr-CA" w:eastAsia="en-US"/>
        </w:rPr>
      </w:pPr>
      <w:r w:rsidRPr="001B7E3A">
        <w:rPr>
          <w:rFonts w:eastAsiaTheme="minorHAnsi" w:cstheme="minorHAnsi"/>
          <w:b/>
          <w:bCs/>
          <w:color w:val="000000"/>
          <w:lang w:val="fr-CA" w:eastAsia="en-US"/>
        </w:rPr>
        <w:t>AVIATION ROYALE DU CANADA</w:t>
      </w:r>
    </w:p>
    <w:p w14:paraId="1ABE409B" w14:textId="0FBF5805" w:rsidR="00E7363D" w:rsidRPr="001B7E3A" w:rsidRDefault="00E7363D" w:rsidP="00E7363D">
      <w:pPr>
        <w:autoSpaceDE w:val="0"/>
        <w:autoSpaceDN w:val="0"/>
        <w:adjustRightInd w:val="0"/>
        <w:spacing w:after="0" w:line="240" w:lineRule="auto"/>
        <w:jc w:val="center"/>
        <w:rPr>
          <w:rFonts w:eastAsiaTheme="minorHAnsi" w:cstheme="minorHAnsi"/>
          <w:b/>
          <w:bCs/>
          <w:color w:val="000000"/>
          <w:lang w:val="fr-CA" w:eastAsia="en-US"/>
        </w:rPr>
      </w:pPr>
      <w:r w:rsidRPr="001B7E3A">
        <w:rPr>
          <w:rFonts w:eastAsiaTheme="minorHAnsi" w:cstheme="minorHAnsi"/>
          <w:b/>
          <w:bCs/>
          <w:color w:val="000000"/>
          <w:lang w:val="fr-CA" w:eastAsia="en-US"/>
        </w:rPr>
        <w:t xml:space="preserve">COMITÉ DE CONSULTATION </w:t>
      </w:r>
      <w:r w:rsidR="001B7E3A">
        <w:rPr>
          <w:rFonts w:eastAsiaTheme="minorHAnsi" w:cstheme="minorHAnsi"/>
          <w:b/>
          <w:bCs/>
          <w:color w:val="000000"/>
          <w:lang w:val="fr-CA" w:eastAsia="en-US"/>
        </w:rPr>
        <w:t>SYNDICALE/PATRONALE</w:t>
      </w:r>
    </w:p>
    <w:p w14:paraId="0FC1361B" w14:textId="77777777" w:rsidR="00E7363D" w:rsidRPr="001B7E3A" w:rsidRDefault="00E7363D" w:rsidP="00E7363D">
      <w:pPr>
        <w:autoSpaceDE w:val="0"/>
        <w:autoSpaceDN w:val="0"/>
        <w:adjustRightInd w:val="0"/>
        <w:spacing w:after="0" w:line="240" w:lineRule="auto"/>
        <w:jc w:val="center"/>
        <w:rPr>
          <w:rFonts w:eastAsiaTheme="minorHAnsi" w:cstheme="minorHAnsi"/>
          <w:b/>
          <w:bCs/>
          <w:color w:val="000000"/>
          <w:lang w:val="fr-CA" w:eastAsia="en-US"/>
        </w:rPr>
      </w:pPr>
      <w:r w:rsidRPr="001B7E3A">
        <w:rPr>
          <w:rFonts w:eastAsiaTheme="minorHAnsi" w:cstheme="minorHAnsi"/>
          <w:b/>
          <w:bCs/>
          <w:color w:val="000000"/>
          <w:lang w:val="fr-CA" w:eastAsia="en-US"/>
        </w:rPr>
        <w:t>ARC L2</w:t>
      </w:r>
    </w:p>
    <w:p w14:paraId="02455B57" w14:textId="77777777" w:rsidR="00E7363D" w:rsidRPr="001B7E3A" w:rsidRDefault="00E7363D" w:rsidP="00E7363D">
      <w:pPr>
        <w:autoSpaceDE w:val="0"/>
        <w:autoSpaceDN w:val="0"/>
        <w:adjustRightInd w:val="0"/>
        <w:spacing w:after="0" w:line="240" w:lineRule="auto"/>
        <w:jc w:val="center"/>
        <w:rPr>
          <w:rFonts w:eastAsiaTheme="minorHAnsi" w:cstheme="minorHAnsi"/>
          <w:b/>
          <w:bCs/>
          <w:color w:val="000000"/>
          <w:lang w:val="fr-CA" w:eastAsia="en-US"/>
        </w:rPr>
      </w:pPr>
      <w:r w:rsidRPr="001B7E3A">
        <w:rPr>
          <w:rFonts w:eastAsiaTheme="minorHAnsi" w:cstheme="minorHAnsi"/>
          <w:b/>
          <w:bCs/>
          <w:color w:val="000000"/>
          <w:lang w:val="fr-CA" w:eastAsia="en-US"/>
        </w:rPr>
        <w:t>Rapport à la réunion de l'EN mai 2024</w:t>
      </w:r>
    </w:p>
    <w:p w14:paraId="39CDCE8E"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p>
    <w:p w14:paraId="2779EF0A"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r w:rsidRPr="001B7E3A">
        <w:rPr>
          <w:rFonts w:eastAsiaTheme="minorHAnsi" w:cstheme="minorHAnsi"/>
          <w:color w:val="000000"/>
          <w:lang w:val="fr-CA" w:eastAsia="en-US"/>
        </w:rPr>
        <w:t>La dernière réunion du N2 de l'ARC a eu lieu le 13 mars 2024.</w:t>
      </w:r>
    </w:p>
    <w:p w14:paraId="0BD407C3" w14:textId="77777777" w:rsidR="00E7363D" w:rsidRPr="00E7363D" w:rsidRDefault="00E7363D" w:rsidP="00E7363D">
      <w:pPr>
        <w:autoSpaceDE w:val="0"/>
        <w:autoSpaceDN w:val="0"/>
        <w:adjustRightInd w:val="0"/>
        <w:spacing w:after="0" w:line="240" w:lineRule="auto"/>
        <w:rPr>
          <w:rFonts w:eastAsiaTheme="minorHAnsi" w:cstheme="minorHAnsi"/>
          <w:color w:val="000000"/>
          <w:lang w:eastAsia="en-US"/>
        </w:rPr>
      </w:pPr>
      <w:r w:rsidRPr="00E7363D">
        <w:rPr>
          <w:rFonts w:eastAsiaTheme="minorHAnsi" w:cstheme="minorHAnsi"/>
          <w:color w:val="000000"/>
          <w:lang w:eastAsia="en-US"/>
        </w:rPr>
        <w:t>1 CAD MGen Huddleston Comd, DComd BGen Doyle-Co-chair, Col Stimpson, 1 CAD COS</w:t>
      </w:r>
    </w:p>
    <w:p w14:paraId="603A6EFF"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r w:rsidRPr="001B7E3A">
        <w:rPr>
          <w:rFonts w:eastAsiaTheme="minorHAnsi" w:cstheme="minorHAnsi"/>
          <w:color w:val="000000"/>
          <w:lang w:val="fr-CA" w:eastAsia="en-US"/>
        </w:rPr>
        <w:t>2 CAD BGen Alexander et COS Col Proteau.</w:t>
      </w:r>
    </w:p>
    <w:p w14:paraId="3CC11E74"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p>
    <w:p w14:paraId="57BA1E9B" w14:textId="0A2192DC" w:rsidR="00E7363D" w:rsidRPr="00E7363D" w:rsidRDefault="00E7363D" w:rsidP="00E7363D">
      <w:pPr>
        <w:autoSpaceDE w:val="0"/>
        <w:autoSpaceDN w:val="0"/>
        <w:adjustRightInd w:val="0"/>
        <w:spacing w:after="0" w:line="240" w:lineRule="auto"/>
        <w:rPr>
          <w:rFonts w:eastAsiaTheme="minorHAnsi" w:cstheme="minorHAnsi"/>
          <w:color w:val="000000"/>
          <w:lang w:val="fr-CA" w:eastAsia="en-US"/>
        </w:rPr>
      </w:pPr>
      <w:r w:rsidRPr="00E7363D">
        <w:rPr>
          <w:rFonts w:eastAsiaTheme="minorHAnsi" w:cstheme="minorHAnsi"/>
          <w:b/>
          <w:bCs/>
          <w:color w:val="000000"/>
          <w:lang w:val="fr-CA" w:eastAsia="en-US"/>
        </w:rPr>
        <w:t xml:space="preserve">Programme des futurs </w:t>
      </w:r>
      <w:r>
        <w:rPr>
          <w:rFonts w:eastAsiaTheme="minorHAnsi" w:cstheme="minorHAnsi"/>
          <w:b/>
          <w:bCs/>
          <w:color w:val="000000"/>
          <w:lang w:val="fr-CA" w:eastAsia="en-US"/>
        </w:rPr>
        <w:t>pilotes de chasse</w:t>
      </w:r>
      <w:r w:rsidRPr="00E7363D">
        <w:rPr>
          <w:rFonts w:eastAsiaTheme="minorHAnsi" w:cstheme="minorHAnsi"/>
          <w:color w:val="000000"/>
          <w:lang w:val="fr-CA" w:eastAsia="en-US"/>
        </w:rPr>
        <w:t xml:space="preserve"> - Le Bgén Doyle dit que la 1 DAC doit à l'UEDN une mise à jour sur ce qui se fait à Bagotville et à Cold Lake. </w:t>
      </w:r>
    </w:p>
    <w:p w14:paraId="1A3511AD" w14:textId="77777777" w:rsidR="00E7363D" w:rsidRPr="00E7363D" w:rsidRDefault="00E7363D" w:rsidP="00E7363D">
      <w:pPr>
        <w:autoSpaceDE w:val="0"/>
        <w:autoSpaceDN w:val="0"/>
        <w:adjustRightInd w:val="0"/>
        <w:spacing w:after="0" w:line="240" w:lineRule="auto"/>
        <w:rPr>
          <w:rFonts w:eastAsiaTheme="minorHAnsi" w:cstheme="minorHAnsi"/>
          <w:color w:val="000000"/>
          <w:lang w:val="fr-CA" w:eastAsia="en-US"/>
        </w:rPr>
      </w:pPr>
    </w:p>
    <w:p w14:paraId="00F3ECDF"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r w:rsidRPr="001B7E3A">
        <w:rPr>
          <w:rFonts w:eastAsiaTheme="minorHAnsi" w:cstheme="minorHAnsi"/>
          <w:b/>
          <w:bCs/>
          <w:color w:val="000000"/>
          <w:lang w:val="fr-CA" w:eastAsia="en-US"/>
        </w:rPr>
        <w:t>Programme de formation des futurs équipages (FAcT)</w:t>
      </w:r>
      <w:r w:rsidRPr="001B7E3A">
        <w:rPr>
          <w:rFonts w:eastAsiaTheme="minorHAnsi" w:cstheme="minorHAnsi"/>
          <w:color w:val="000000"/>
          <w:lang w:val="fr-CA" w:eastAsia="en-US"/>
        </w:rPr>
        <w:t xml:space="preserve"> - Le Lcol Nicholauson explique que la 2e DAC n'a pas d'autres renseignements à fournir parce qu'elle ne participe pas au programme jusqu'à ce que le contrat soit émis pour la FAcT. Le Lcol Chmelyk explique que les L2 ne seront pas pleinement impliqués avant la mise en œuvre du projet, bien après que des décisions aient été prises sur les accords de soutien en service pour des choses telles que l'entretien des bâtiments. Ces décisions sont prises au moment où les appels d'offres et les cahiers des charges sont préparés. Comme ces documents impliquent le PSPC et d'autres L1 tels que l'ADM (Mat), les syndicats peuvent envisager de s'engager avec le L0 pour s'assurer que leurs préoccupations sont prises en compte lors de la production de ces documents. </w:t>
      </w:r>
    </w:p>
    <w:p w14:paraId="28D2E461"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p>
    <w:p w14:paraId="3D902E03"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r w:rsidRPr="001B7E3A">
        <w:rPr>
          <w:rFonts w:eastAsiaTheme="minorHAnsi" w:cstheme="minorHAnsi"/>
          <w:b/>
          <w:bCs/>
          <w:color w:val="000000"/>
          <w:lang w:val="fr-CA" w:eastAsia="en-US"/>
        </w:rPr>
        <w:t>Pompiers</w:t>
      </w:r>
      <w:r w:rsidRPr="001B7E3A">
        <w:rPr>
          <w:rFonts w:eastAsiaTheme="minorHAnsi" w:cstheme="minorHAnsi"/>
          <w:color w:val="000000"/>
          <w:lang w:val="fr-CA" w:eastAsia="en-US"/>
        </w:rPr>
        <w:t xml:space="preserve"> - La question de l'affectation des pompiers et des ETS reste à l'ordre du jour parce que le MDN continue de ne pas respecter l'affectation de la taille des équipes spécifiée par le CFFM et qu'il semble s'agir d'un problème récurrent qui n'est pas traité de manière adéquate. </w:t>
      </w:r>
    </w:p>
    <w:p w14:paraId="5F420716"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r w:rsidRPr="001B7E3A">
        <w:rPr>
          <w:rFonts w:eastAsiaTheme="minorHAnsi" w:cstheme="minorHAnsi"/>
          <w:color w:val="000000"/>
          <w:lang w:val="fr-CA" w:eastAsia="en-US"/>
        </w:rPr>
        <w:t xml:space="preserve">Le Bgén Doyle a indiqué que les FAC ont un nombre de pompiers inférieur de 20 % au nombre nécessaire et qu'aucune unité de l'ARC n'est en bonne santé en termes de dotation en personnel, que ce soit du côté militaire ou du côté civil. Il mentionne que la 1 DAC est encore en train de déterminer le niveau de risque associé à ces lacunes afin d'identifier des solutions possibles.  L'UEDN a fait valoir que l'ETS devrait être affectée à l'embauche du nombre nécessaire d'employés de la fonction publique plutôt que d'être utilisée pour payer les heures supplémentaires, ce qui peut empêcher les employés de prendre des vacances et les exposer au risque d'épuisement professionnel. Elle a également identifié un autre problème : les employés ne peuvent pas déménager pour occuper un poste vacant car il n'y a pas d'ETS disponible. Le Lcol Allan a ajouté qu'il s'agit du même problème qui existait il y a quatre ans, lorsqu'il était contrôleur de la 17e Escadre. Le Maj Dickens confirme que cinq postes ont été soumis (demandes permanentes) et que cinq demandes FR1 ont été envoyées à la L1 pour 2023/24. </w:t>
      </w:r>
    </w:p>
    <w:p w14:paraId="0316BEFF"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r w:rsidRPr="001B7E3A">
        <w:rPr>
          <w:rFonts w:eastAsiaTheme="minorHAnsi" w:cstheme="minorHAnsi"/>
          <w:color w:val="000000"/>
          <w:lang w:val="fr-CA" w:eastAsia="en-US"/>
        </w:rPr>
        <w:t xml:space="preserve">Le Lcol Nicholauson mentionne que la 2 DAC a 27 postes de pompiers approuvés et financés, ainsi qu'un FR-1 à durée déterminée, et que tous sont pourvus. Il mentionne qu'il y a une autre demande pour quatre postes supplémentaires par l'intermédiaire de la DTEP. Entre-temps, le Comd de la 2 DAC a accepté le risque d'heures supplémentaires (OT) et le financement pour les payer. Il conclut en disant que nous devrons continuer à soulever la question. Bien que les deux soient financés par l'ETS, les heures supplémentaires sont financées par les glissements, plutôt que par l'ETS alloué spécifiquement pour les postes à durée indéterminée. Il ne s'agit pas d'un refus de postes, mais plutôt d'une question de priorité et de triage, étant donné les différentes exigences identifiées aux niveaux opérationnel et stratégique. Tous les L2 peuvent identifier leurs priorités, mais celles-ci sont contrebalancées à un niveau plus élevé par les priorités concurrentes de tous les L2. Comme le financement devrait être réduit au cours des prochaines années, il s'agira d'un défi récurrent. </w:t>
      </w:r>
    </w:p>
    <w:p w14:paraId="1AA9F49C"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p>
    <w:p w14:paraId="0519D274" w14:textId="77777777" w:rsidR="00E7363D" w:rsidRPr="001B7E3A" w:rsidRDefault="00E7363D" w:rsidP="00E7363D">
      <w:pPr>
        <w:autoSpaceDE w:val="0"/>
        <w:autoSpaceDN w:val="0"/>
        <w:adjustRightInd w:val="0"/>
        <w:spacing w:after="0" w:line="240" w:lineRule="auto"/>
        <w:rPr>
          <w:rFonts w:eastAsiaTheme="minorHAnsi" w:cstheme="minorHAnsi"/>
          <w:color w:val="000000"/>
          <w:lang w:val="fr-CA" w:eastAsia="en-US"/>
        </w:rPr>
      </w:pPr>
    </w:p>
    <w:p w14:paraId="4AAB6516" w14:textId="16AFEAD3" w:rsidR="00E7363D" w:rsidRPr="00E7363D" w:rsidRDefault="00E7363D" w:rsidP="00E7363D">
      <w:pPr>
        <w:autoSpaceDE w:val="0"/>
        <w:autoSpaceDN w:val="0"/>
        <w:adjustRightInd w:val="0"/>
        <w:spacing w:after="0" w:line="240" w:lineRule="auto"/>
        <w:rPr>
          <w:rFonts w:eastAsiaTheme="minorHAnsi" w:cstheme="minorHAnsi"/>
          <w:color w:val="000000"/>
          <w:lang w:val="fr-CA" w:eastAsia="en-US"/>
        </w:rPr>
      </w:pPr>
      <w:r w:rsidRPr="00E7363D">
        <w:rPr>
          <w:rFonts w:eastAsiaTheme="minorHAnsi" w:cstheme="minorHAnsi"/>
          <w:color w:val="000000"/>
          <w:lang w:val="fr-CA" w:eastAsia="en-US"/>
        </w:rPr>
        <w:t>Vous trouverez ci-dessous un résumé d</w:t>
      </w:r>
      <w:r>
        <w:rPr>
          <w:rFonts w:eastAsiaTheme="minorHAnsi" w:cstheme="minorHAnsi"/>
          <w:color w:val="000000"/>
          <w:lang w:val="fr-CA" w:eastAsia="en-US"/>
        </w:rPr>
        <w:t>’heures supplémentaires (HS)</w:t>
      </w:r>
      <w:r w:rsidRPr="00E7363D">
        <w:rPr>
          <w:rFonts w:eastAsiaTheme="minorHAnsi" w:cstheme="minorHAnsi"/>
          <w:color w:val="000000"/>
          <w:lang w:val="fr-CA" w:eastAsia="en-US"/>
        </w:rPr>
        <w:t xml:space="preserve"> d</w:t>
      </w:r>
      <w:r>
        <w:rPr>
          <w:rFonts w:eastAsiaTheme="minorHAnsi" w:cstheme="minorHAnsi"/>
          <w:color w:val="000000"/>
          <w:lang w:val="fr-CA" w:eastAsia="en-US"/>
        </w:rPr>
        <w:t>es</w:t>
      </w:r>
      <w:r w:rsidRPr="00E7363D">
        <w:rPr>
          <w:rFonts w:eastAsiaTheme="minorHAnsi" w:cstheme="minorHAnsi"/>
          <w:color w:val="000000"/>
          <w:lang w:val="fr-CA" w:eastAsia="en-US"/>
        </w:rPr>
        <w:t xml:space="preserve"> pompier</w:t>
      </w:r>
      <w:r>
        <w:rPr>
          <w:rFonts w:eastAsiaTheme="minorHAnsi" w:cstheme="minorHAnsi"/>
          <w:color w:val="000000"/>
          <w:lang w:val="fr-CA" w:eastAsia="en-US"/>
        </w:rPr>
        <w:t>s</w:t>
      </w:r>
      <w:r w:rsidRPr="00E7363D">
        <w:rPr>
          <w:rFonts w:eastAsiaTheme="minorHAnsi" w:cstheme="minorHAnsi"/>
          <w:color w:val="000000"/>
          <w:lang w:val="fr-CA" w:eastAsia="en-US"/>
        </w:rPr>
        <w:t xml:space="preserve"> du détachement de Dundurn, valable le 14 décembre 23.</w:t>
      </w:r>
      <w:r>
        <w:rPr>
          <w:rFonts w:eastAsiaTheme="minorHAnsi" w:cstheme="minorHAnsi"/>
          <w:color w:val="000000"/>
          <w:lang w:val="fr-CA" w:eastAsia="en-US"/>
        </w:rPr>
        <w:t xml:space="preserve"> </w:t>
      </w:r>
      <w:r w:rsidRPr="00E7363D">
        <w:rPr>
          <w:rFonts w:eastAsiaTheme="minorHAnsi" w:cstheme="minorHAnsi"/>
          <w:i/>
          <w:iCs/>
          <w:color w:val="000000"/>
          <w:lang w:val="fr-CA" w:eastAsia="en-US"/>
        </w:rPr>
        <w:t>(en anglais seulement)</w:t>
      </w:r>
    </w:p>
    <w:p w14:paraId="59B9279A" w14:textId="3228D87A" w:rsidR="00E7363D" w:rsidRPr="00E7363D" w:rsidRDefault="00E7363D" w:rsidP="00E7363D">
      <w:pPr>
        <w:autoSpaceDE w:val="0"/>
        <w:autoSpaceDN w:val="0"/>
        <w:adjustRightInd w:val="0"/>
        <w:spacing w:after="0" w:line="240" w:lineRule="auto"/>
        <w:rPr>
          <w:rFonts w:eastAsiaTheme="minorHAnsi" w:cstheme="minorHAnsi"/>
          <w:color w:val="000000"/>
          <w:lang w:val="fr-CA" w:eastAsia="en-US"/>
        </w:rPr>
      </w:pPr>
      <w:r w:rsidRPr="00E7363D">
        <w:rPr>
          <w:rFonts w:eastAsiaTheme="minorHAnsi" w:cstheme="minorHAnsi"/>
          <w:color w:val="000000"/>
          <w:lang w:val="fr-CA" w:eastAsia="en-US"/>
        </w:rPr>
        <w:t xml:space="preserve">Le GL </w:t>
      </w:r>
      <w:r>
        <w:rPr>
          <w:rFonts w:eastAsiaTheme="minorHAnsi" w:cstheme="minorHAnsi"/>
          <w:color w:val="000000"/>
          <w:lang w:val="fr-CA" w:eastAsia="en-US"/>
        </w:rPr>
        <w:t>HS</w:t>
      </w:r>
      <w:r w:rsidRPr="00E7363D">
        <w:rPr>
          <w:rFonts w:eastAsiaTheme="minorHAnsi" w:cstheme="minorHAnsi"/>
          <w:color w:val="000000"/>
          <w:lang w:val="fr-CA" w:eastAsia="en-US"/>
        </w:rPr>
        <w:t xml:space="preserve"> comprend divers types d</w:t>
      </w:r>
      <w:r>
        <w:rPr>
          <w:rFonts w:eastAsiaTheme="minorHAnsi" w:cstheme="minorHAnsi"/>
          <w:color w:val="000000"/>
          <w:lang w:val="fr-CA" w:eastAsia="en-US"/>
        </w:rPr>
        <w:t>e HS</w:t>
      </w:r>
      <w:r w:rsidRPr="00E7363D">
        <w:rPr>
          <w:rFonts w:eastAsiaTheme="minorHAnsi" w:cstheme="minorHAnsi"/>
          <w:color w:val="000000"/>
          <w:lang w:val="fr-CA" w:eastAsia="en-US"/>
        </w:rPr>
        <w:t xml:space="preserve">, y compris la prime pour jour de remplacement - la compensation pour les jours fériés payés désignés.  À la fin de l'exercice financier, comme les FR n'ont pas utilisé tous leurs jours de congé, ils sont payés en espèces, ce qui est considéré comme </w:t>
      </w:r>
      <w:r>
        <w:rPr>
          <w:rFonts w:eastAsiaTheme="minorHAnsi" w:cstheme="minorHAnsi"/>
          <w:color w:val="000000"/>
          <w:lang w:val="fr-CA" w:eastAsia="en-US"/>
        </w:rPr>
        <w:t>les HS</w:t>
      </w:r>
      <w:r w:rsidRPr="00E7363D">
        <w:rPr>
          <w:rFonts w:eastAsiaTheme="minorHAnsi" w:cstheme="minorHAnsi"/>
          <w:color w:val="000000"/>
          <w:lang w:val="fr-CA" w:eastAsia="en-US"/>
        </w:rPr>
        <w:t>.</w:t>
      </w:r>
    </w:p>
    <w:p w14:paraId="08E71053" w14:textId="77777777" w:rsidR="00E7363D" w:rsidRPr="00E7363D" w:rsidRDefault="00E7363D" w:rsidP="00DD47FE">
      <w:pPr>
        <w:rPr>
          <w:rFonts w:ascii="Calibri" w:eastAsia="Times New Roman" w:hAnsi="Calibri" w:cs="Calibri"/>
          <w:color w:val="1F497D"/>
          <w:lang w:val="fr-CA"/>
        </w:rPr>
      </w:pPr>
    </w:p>
    <w:p w14:paraId="3DB4FD59" w14:textId="2F31145D" w:rsidR="00DD47FE" w:rsidRDefault="00DD47FE" w:rsidP="00DD47FE">
      <w:pPr>
        <w:rPr>
          <w:rFonts w:ascii="Calibri" w:eastAsia="Times New Roman" w:hAnsi="Calibri" w:cs="Calibri"/>
          <w:color w:val="1F497D"/>
        </w:rPr>
      </w:pPr>
      <w:r>
        <w:rPr>
          <w:noProof/>
        </w:rPr>
        <w:drawing>
          <wp:inline distT="0" distB="0" distL="0" distR="0" wp14:anchorId="68D494D7" wp14:editId="094CC905">
            <wp:extent cx="5888990" cy="2971800"/>
            <wp:effectExtent l="0" t="0" r="0" b="0"/>
            <wp:docPr id="323703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12066" cy="2983445"/>
                    </a:xfrm>
                    <a:prstGeom prst="rect">
                      <a:avLst/>
                    </a:prstGeom>
                    <a:noFill/>
                    <a:ln>
                      <a:noFill/>
                    </a:ln>
                  </pic:spPr>
                </pic:pic>
              </a:graphicData>
            </a:graphic>
          </wp:inline>
        </w:drawing>
      </w:r>
    </w:p>
    <w:p w14:paraId="287556F1" w14:textId="77777777" w:rsidR="00763101" w:rsidRPr="00763101" w:rsidRDefault="00763101" w:rsidP="00763101">
      <w:pPr>
        <w:rPr>
          <w:rFonts w:eastAsiaTheme="minorHAnsi" w:cstheme="minorHAnsi"/>
          <w:b/>
          <w:bCs/>
          <w:color w:val="000000"/>
          <w:lang w:val="fr-CA" w:eastAsia="en-US"/>
        </w:rPr>
      </w:pPr>
      <w:r w:rsidRPr="00763101">
        <w:rPr>
          <w:rFonts w:eastAsiaTheme="minorHAnsi" w:cstheme="minorHAnsi"/>
          <w:b/>
          <w:bCs/>
          <w:color w:val="000000"/>
          <w:lang w:val="fr-CA" w:eastAsia="en-US"/>
        </w:rPr>
        <w:t xml:space="preserve">Les employés de la fonction publique participant à des événements : </w:t>
      </w:r>
    </w:p>
    <w:p w14:paraId="389524E8"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color w:val="000000"/>
          <w:lang w:val="fr-CA" w:eastAsia="en-US"/>
        </w:rPr>
        <w:t xml:space="preserve">Mme Chiarelli HR indique que le bulletin fait l'objet des dernières révisions et traductions et qu'il est attendu prochainement. Elle rappelle également que les programmes d'indemnisation des travailleurs (WCB) sont administrés au niveau provincial et que la couverture peut varier d'un pays à l'autre. </w:t>
      </w:r>
    </w:p>
    <w:p w14:paraId="4CB5AB74" w14:textId="77777777" w:rsidR="00763101" w:rsidRPr="00763101" w:rsidRDefault="00763101" w:rsidP="00763101">
      <w:pPr>
        <w:rPr>
          <w:rFonts w:eastAsiaTheme="minorHAnsi" w:cstheme="minorHAnsi"/>
          <w:color w:val="000000"/>
          <w:lang w:val="fr-CA" w:eastAsia="en-US"/>
        </w:rPr>
      </w:pPr>
    </w:p>
    <w:p w14:paraId="707F4C71" w14:textId="77777777" w:rsidR="00763101" w:rsidRPr="00763101" w:rsidRDefault="00763101" w:rsidP="00763101">
      <w:pPr>
        <w:rPr>
          <w:rFonts w:eastAsiaTheme="minorHAnsi" w:cstheme="minorHAnsi"/>
          <w:b/>
          <w:bCs/>
          <w:color w:val="000000"/>
          <w:lang w:val="fr-CA" w:eastAsia="en-US"/>
        </w:rPr>
      </w:pPr>
      <w:r w:rsidRPr="00763101">
        <w:rPr>
          <w:rFonts w:eastAsiaTheme="minorHAnsi" w:cstheme="minorHAnsi"/>
          <w:b/>
          <w:bCs/>
          <w:color w:val="000000"/>
          <w:lang w:val="fr-CA" w:eastAsia="en-US"/>
        </w:rPr>
        <w:t>Aperçu du budget de l'ETS et rapports sur les postes vacants</w:t>
      </w:r>
    </w:p>
    <w:p w14:paraId="5EA479F1"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color w:val="000000"/>
          <w:lang w:val="fr-CA" w:eastAsia="en-US"/>
        </w:rPr>
        <w:t xml:space="preserve">L'UEDN insiste à nouveau sur le fait que l'ETS doit être sollicitée pour des travaux d'intérêt public et qu'il ne faut pas présumer qu'elle n'est pas disponible.  L'UEDN exprime sa frustration de ne pas pouvoir obtenir les rapports sur les postes vacants auprès des L3. Le Bgén Doyle explique que de nombreuses escadres ne savent peut-être pas exactement ce qui est nécessaire pour ces rapports. Mme Simcoe veut s'assurer que les gestionnaires connaissent leurs postes vacants et leurs plans (affichage à l'interne ou à l'externe). L'UEDN dit qu'elle veut savoir pourquoi les Relations de travail (ColdLake) semblent empêcher certaines organisations de partager l'information sur les rapports de postes vacants. </w:t>
      </w:r>
    </w:p>
    <w:p w14:paraId="66E70C28" w14:textId="77777777" w:rsidR="00763101" w:rsidRPr="00763101" w:rsidRDefault="00763101" w:rsidP="00763101">
      <w:pPr>
        <w:rPr>
          <w:rFonts w:eastAsiaTheme="minorHAnsi" w:cstheme="minorHAnsi"/>
          <w:color w:val="000000"/>
          <w:lang w:val="fr-CA" w:eastAsia="en-US"/>
        </w:rPr>
      </w:pPr>
    </w:p>
    <w:p w14:paraId="48CA532A"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b/>
          <w:bCs/>
          <w:color w:val="000000"/>
          <w:lang w:val="fr-CA" w:eastAsia="en-US"/>
        </w:rPr>
        <w:t>L'UEDN s'enquiert des compressions budgétaires</w:t>
      </w:r>
      <w:r w:rsidRPr="00763101">
        <w:rPr>
          <w:rFonts w:eastAsiaTheme="minorHAnsi" w:cstheme="minorHAnsi"/>
          <w:color w:val="000000"/>
          <w:lang w:val="fr-CA" w:eastAsia="en-US"/>
        </w:rPr>
        <w:t xml:space="preserve"> - le MDN recevra 600 millions de dollars ou moins. Pour la 1 DAC, cela signifie moins de déploiements et d'exercices, et une réduction des dépenses de TD, par exemple en organisant plus de réunions sur MS Teams. Le Bgén Doyle précise qu'aucune réduction </w:t>
      </w:r>
      <w:r w:rsidRPr="00763101">
        <w:rPr>
          <w:rFonts w:eastAsiaTheme="minorHAnsi" w:cstheme="minorHAnsi"/>
          <w:color w:val="000000"/>
          <w:lang w:val="fr-CA" w:eastAsia="en-US"/>
        </w:rPr>
        <w:lastRenderedPageBreak/>
        <w:t xml:space="preserve">n'est prévue en ce qui concerne l'ETS ou le nombre de personnes que nous voulons au niveau des unités. Mme Simcoe a posé des questions sur la réduction des dépenses liées à la sous-traitance de services, et le Lcol Allan a reconnu que certains contrats faisaient l'objet d'un examen en vue d'une réduction. </w:t>
      </w:r>
    </w:p>
    <w:p w14:paraId="14E55D09" w14:textId="77777777" w:rsidR="00763101" w:rsidRPr="00763101" w:rsidRDefault="00763101" w:rsidP="00763101">
      <w:pPr>
        <w:rPr>
          <w:rFonts w:eastAsiaTheme="minorHAnsi" w:cstheme="minorHAnsi"/>
          <w:color w:val="000000"/>
          <w:lang w:val="fr-CA" w:eastAsia="en-US"/>
        </w:rPr>
      </w:pPr>
    </w:p>
    <w:p w14:paraId="3E2ECF87"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b/>
          <w:bCs/>
          <w:color w:val="000000"/>
          <w:lang w:val="fr-CA" w:eastAsia="en-US"/>
        </w:rPr>
        <w:t>Campagne Uncovering the Cost (Découvrir les coûts)</w:t>
      </w:r>
      <w:r w:rsidRPr="00763101">
        <w:rPr>
          <w:rFonts w:eastAsiaTheme="minorHAnsi" w:cstheme="minorHAnsi"/>
          <w:color w:val="000000"/>
          <w:lang w:val="fr-CA" w:eastAsia="en-US"/>
        </w:rPr>
        <w:t xml:space="preserve"> : L'UEDN a embauché une agente de projet spéciale, Eleanor Sherlock, pour travailler sur ce projet. L'UEDN explique qu'elle examinera également comment ramener ces emplois à l'intérieur de la fonction publique et que la première étape consiste à démontrer à quel point la sous-traitance est plus coûteuse. Mme Simcoe explique que lorsque de nouveaux bâtiments sont construits, ces projets d'investissement doivent s'accompagner d'une participation de l'EEE pour l'embauche de nettoyeurs et l'entretien des bâtiments. Le Bgén Doyle a dit qu'ils ont été mis au défi de faire un examen sérieux de la définition des services professionnels (pas les contrats L3, mais les emplois du personnel de base qui sont des emplois de l'équipe de défense). </w:t>
      </w:r>
    </w:p>
    <w:p w14:paraId="24DC3CCB" w14:textId="77777777" w:rsidR="00763101" w:rsidRPr="00763101" w:rsidRDefault="00763101" w:rsidP="00763101">
      <w:pPr>
        <w:rPr>
          <w:rFonts w:eastAsiaTheme="minorHAnsi" w:cstheme="minorHAnsi"/>
          <w:color w:val="000000"/>
          <w:lang w:val="fr-CA" w:eastAsia="en-US"/>
        </w:rPr>
      </w:pPr>
    </w:p>
    <w:p w14:paraId="30150DEA"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b/>
          <w:bCs/>
          <w:color w:val="000000"/>
          <w:lang w:val="fr-CA" w:eastAsia="en-US"/>
        </w:rPr>
        <w:t>Nettoyeurs des 8e et 19e escadres</w:t>
      </w:r>
      <w:r w:rsidRPr="00763101">
        <w:rPr>
          <w:rFonts w:eastAsiaTheme="minorHAnsi" w:cstheme="minorHAnsi"/>
          <w:color w:val="000000"/>
          <w:lang w:val="fr-CA" w:eastAsia="en-US"/>
        </w:rPr>
        <w:t xml:space="preserve"> :  L'UEDN déclare que le nettoyage sous-traité devrait être un travail de fonctionnaire et que des postes doivent être créés. Elle affirme que l'analyse de rentabilisation démontre toujours que les fonctionnaires offrent une meilleure valeur que les services sous-traités. </w:t>
      </w:r>
    </w:p>
    <w:p w14:paraId="32C39F81"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color w:val="000000"/>
          <w:lang w:val="fr-CA" w:eastAsia="en-US"/>
        </w:rPr>
        <w:t xml:space="preserve">L'UEDN discute des contrats de nettoyage, des nettoyeurs principaux et des nettoyeurs contractuels, et souhaite que Trenton fasse appel à des fonctionnaires au lieu de multiplier les contrats. Le Bgén Doyle dit qu'il s'agit d'une question qui concerne l'ensemble de la 1 DAC, car nous envisageons de nouvelles infrastructures dans toutes nos escadres. L'A1 examinera la question plus en détail. </w:t>
      </w:r>
    </w:p>
    <w:p w14:paraId="15CAD502" w14:textId="77777777" w:rsidR="00763101" w:rsidRPr="00763101" w:rsidRDefault="00763101" w:rsidP="00763101">
      <w:pPr>
        <w:rPr>
          <w:rFonts w:eastAsiaTheme="minorHAnsi" w:cstheme="minorHAnsi"/>
          <w:color w:val="000000"/>
          <w:lang w:val="fr-CA" w:eastAsia="en-US"/>
        </w:rPr>
      </w:pPr>
    </w:p>
    <w:p w14:paraId="215A6999"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b/>
          <w:bCs/>
          <w:color w:val="000000"/>
          <w:lang w:val="fr-CA" w:eastAsia="en-US"/>
        </w:rPr>
        <w:t>Conflit IMP à Comox</w:t>
      </w:r>
      <w:r w:rsidRPr="00763101">
        <w:rPr>
          <w:rFonts w:eastAsiaTheme="minorHAnsi" w:cstheme="minorHAnsi"/>
          <w:color w:val="000000"/>
          <w:lang w:val="fr-CA" w:eastAsia="en-US"/>
        </w:rPr>
        <w:t xml:space="preserve"> : L'UEDN indique que 26 techniciens étaient employés en avril 2023 et qu'il en reste maintenant 14. L'UEDN se demande comment l'entrepreneur s'acquitte de ses obligations contractuelles avec un peu plus de la moitié du personnel initial. L'UEDN demande en outre si le Comd est pleinement conscient des risques que l'IMP peut causer. Bien que le personnel de Greenwood et de Gander soit amené épisodiquement à combler ces lacunes, la situation actuelle peut conduire à l'échec de la mission ou à des accidents d'avion. Le Bgén Doyle fait remarquer que les employés sont embauchés dans le cadre de contrats PAL et qu'il s'agit d'un problème d'offre et de demande. L'UEDN cherche à obtenir une DAC pour déterminer qui s'occupe du contrat (agent de conformité des contrats) afin de s'assurer que l'entrepreneur s'acquitte de ses obligations. L'UEDN aimerait savoir quelles seront les répercussions si un entrepreneur ne respecte pas ses obligations. </w:t>
      </w:r>
    </w:p>
    <w:p w14:paraId="2491CB14" w14:textId="77777777" w:rsidR="00763101" w:rsidRPr="00763101" w:rsidRDefault="00763101" w:rsidP="00763101">
      <w:pPr>
        <w:rPr>
          <w:rFonts w:eastAsiaTheme="minorHAnsi" w:cstheme="minorHAnsi"/>
          <w:color w:val="000000"/>
          <w:lang w:val="fr-CA" w:eastAsia="en-US"/>
        </w:rPr>
      </w:pPr>
    </w:p>
    <w:p w14:paraId="08289676"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b/>
          <w:bCs/>
          <w:color w:val="000000"/>
          <w:lang w:val="fr-CA" w:eastAsia="en-US"/>
        </w:rPr>
        <w:t>FNP</w:t>
      </w:r>
      <w:r w:rsidRPr="00763101">
        <w:rPr>
          <w:rFonts w:eastAsiaTheme="minorHAnsi" w:cstheme="minorHAnsi"/>
          <w:color w:val="000000"/>
          <w:lang w:val="fr-CA" w:eastAsia="en-US"/>
        </w:rPr>
        <w:t xml:space="preserve"> - L'UEDN a identifié Bagotville comme étant une escadre de la 1 DAC où les employés des FNP sont syndiqués. Le cmdt doit faire pression sur les FNP pour qu'ils parviennent à un compromis et réitère que le cmdt doit veiller à ne pas saper ces employés. L'UEDN cite un exemple précis : le CMR utilise des OCdts comme travailleurs de remplacement pour servir le café alors que les membres de l'UEDN sont en grève. </w:t>
      </w:r>
    </w:p>
    <w:p w14:paraId="1820D854" w14:textId="77777777" w:rsidR="00763101" w:rsidRPr="00763101" w:rsidRDefault="00763101" w:rsidP="00763101">
      <w:pPr>
        <w:rPr>
          <w:rFonts w:eastAsiaTheme="minorHAnsi" w:cstheme="minorHAnsi"/>
          <w:color w:val="000000"/>
          <w:lang w:val="fr-CA" w:eastAsia="en-US"/>
        </w:rPr>
      </w:pPr>
    </w:p>
    <w:p w14:paraId="3F17CF7B"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b/>
          <w:bCs/>
          <w:color w:val="000000"/>
          <w:lang w:val="fr-CA" w:eastAsia="en-US"/>
        </w:rPr>
        <w:lastRenderedPageBreak/>
        <w:t>Sous-traitance des services de développement de logiciels par l'IPFPC</w:t>
      </w:r>
      <w:r w:rsidRPr="00763101">
        <w:rPr>
          <w:rFonts w:eastAsiaTheme="minorHAnsi" w:cstheme="minorHAnsi"/>
          <w:color w:val="000000"/>
          <w:lang w:val="fr-CA" w:eastAsia="en-US"/>
        </w:rPr>
        <w:t xml:space="preserve"> - soulève la question de la sous-traitance des services de développement de logiciels, en soulignant le fait que le MDN ne finit pas par posséder le code source. Si le code source n'est pas détenu, le contractant initial doit être engagé pour toutes les modifications - ce qui peut rendre même des modifications très mineures très lentes, coûteuses, voire impossibles. L'IPFPC a fait valoir que les développeurs de logiciels sous contrat ne devraient être engagés que pour les « produits de pointe » ; la plupart des tâches de développement peuvent être mieux accomplies par les fonctionnaires. Le recours à des développeurs internes au service public est toujours plus rentable, tout en permettant plus d'agilité et de flexibilité. </w:t>
      </w:r>
    </w:p>
    <w:p w14:paraId="0F7F67AB" w14:textId="77777777" w:rsidR="00763101" w:rsidRPr="00763101" w:rsidRDefault="00763101" w:rsidP="00763101">
      <w:pPr>
        <w:rPr>
          <w:rFonts w:eastAsiaTheme="minorHAnsi" w:cstheme="minorHAnsi"/>
          <w:color w:val="000000"/>
          <w:lang w:val="fr-CA" w:eastAsia="en-US"/>
        </w:rPr>
      </w:pPr>
    </w:p>
    <w:p w14:paraId="25B8D7A0" w14:textId="77777777" w:rsidR="00763101" w:rsidRPr="00763101" w:rsidRDefault="00763101" w:rsidP="00763101">
      <w:pPr>
        <w:rPr>
          <w:rFonts w:eastAsiaTheme="minorHAnsi" w:cstheme="minorHAnsi"/>
          <w:b/>
          <w:bCs/>
          <w:color w:val="000000"/>
          <w:lang w:val="fr-CA" w:eastAsia="en-US"/>
        </w:rPr>
      </w:pPr>
      <w:r w:rsidRPr="00763101">
        <w:rPr>
          <w:rFonts w:eastAsiaTheme="minorHAnsi" w:cstheme="minorHAnsi"/>
          <w:b/>
          <w:bCs/>
          <w:color w:val="000000"/>
          <w:lang w:val="fr-CA" w:eastAsia="en-US"/>
        </w:rPr>
        <w:t>Respectueusement soumis par</w:t>
      </w:r>
    </w:p>
    <w:p w14:paraId="3F34DA0F"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color w:val="000000"/>
          <w:lang w:val="fr-CA" w:eastAsia="en-US"/>
        </w:rPr>
        <w:t xml:space="preserve">Mona Simcoe VP MB/Sask   </w:t>
      </w:r>
    </w:p>
    <w:p w14:paraId="699E4F7B" w14:textId="77777777" w:rsidR="00763101" w:rsidRPr="00763101" w:rsidRDefault="00763101" w:rsidP="00763101">
      <w:pPr>
        <w:rPr>
          <w:rFonts w:eastAsiaTheme="minorHAnsi" w:cstheme="minorHAnsi"/>
          <w:color w:val="000000"/>
          <w:lang w:val="fr-CA" w:eastAsia="en-US"/>
        </w:rPr>
      </w:pPr>
      <w:r w:rsidRPr="00763101">
        <w:rPr>
          <w:rFonts w:eastAsiaTheme="minorHAnsi" w:cstheme="minorHAnsi"/>
          <w:color w:val="000000"/>
          <w:lang w:val="fr-CA" w:eastAsia="en-US"/>
        </w:rPr>
        <w:t>James Potts VP Ont</w:t>
      </w:r>
    </w:p>
    <w:p w14:paraId="533E0C71" w14:textId="77777777" w:rsidR="00763101" w:rsidRPr="00763101" w:rsidRDefault="00763101" w:rsidP="00DD47FE">
      <w:pPr>
        <w:rPr>
          <w:rFonts w:eastAsiaTheme="minorHAnsi" w:cstheme="minorHAnsi"/>
          <w:color w:val="000000"/>
          <w:lang w:val="fr-CA" w:eastAsia="en-US"/>
        </w:rPr>
      </w:pPr>
    </w:p>
    <w:sectPr w:rsidR="00763101" w:rsidRPr="00763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5"/>
  </w:num>
  <w:num w:numId="2" w16cid:durableId="912857855">
    <w:abstractNumId w:val="11"/>
  </w:num>
  <w:num w:numId="3" w16cid:durableId="1305769801">
    <w:abstractNumId w:val="15"/>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4"/>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 w:numId="18" w16cid:durableId="11417289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67BF8"/>
    <w:rsid w:val="001B7E3A"/>
    <w:rsid w:val="001D2F3E"/>
    <w:rsid w:val="00204DE2"/>
    <w:rsid w:val="002204CD"/>
    <w:rsid w:val="00262F02"/>
    <w:rsid w:val="004361CC"/>
    <w:rsid w:val="00470B59"/>
    <w:rsid w:val="004E7815"/>
    <w:rsid w:val="005841BF"/>
    <w:rsid w:val="005C24F3"/>
    <w:rsid w:val="00612583"/>
    <w:rsid w:val="00661694"/>
    <w:rsid w:val="006643B3"/>
    <w:rsid w:val="006D11DB"/>
    <w:rsid w:val="006E3361"/>
    <w:rsid w:val="006E5DEE"/>
    <w:rsid w:val="00760FD7"/>
    <w:rsid w:val="00763101"/>
    <w:rsid w:val="007A6CF8"/>
    <w:rsid w:val="00800630"/>
    <w:rsid w:val="00812E0F"/>
    <w:rsid w:val="0083576C"/>
    <w:rsid w:val="008A456B"/>
    <w:rsid w:val="00B47D6F"/>
    <w:rsid w:val="00B96A7A"/>
    <w:rsid w:val="00BA7ADC"/>
    <w:rsid w:val="00BE46C8"/>
    <w:rsid w:val="00C80020"/>
    <w:rsid w:val="00CD32AC"/>
    <w:rsid w:val="00D27F02"/>
    <w:rsid w:val="00DB73E3"/>
    <w:rsid w:val="00DD47FE"/>
    <w:rsid w:val="00E4387D"/>
    <w:rsid w:val="00E7363D"/>
    <w:rsid w:val="00EE7B3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A7549.C7F251E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5</cp:revision>
  <dcterms:created xsi:type="dcterms:W3CDTF">2024-05-15T12:39:00Z</dcterms:created>
  <dcterms:modified xsi:type="dcterms:W3CDTF">2024-05-15T13:28:00Z</dcterms:modified>
</cp:coreProperties>
</file>