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C1556" w14:textId="49852319" w:rsidR="003278FF" w:rsidRDefault="000A6923" w:rsidP="003278FF">
      <w:pPr>
        <w:jc w:val="center"/>
        <w:rPr>
          <w:rFonts w:ascii="Times New Roman" w:hAnsi="Times New Roman" w:cs="Times New Roman"/>
          <w:b/>
          <w:bCs/>
          <w:sz w:val="24"/>
          <w:szCs w:val="24"/>
        </w:rPr>
      </w:pPr>
      <w:r>
        <w:rPr>
          <w:noProof/>
        </w:rPr>
        <w:drawing>
          <wp:inline distT="0" distB="0" distL="0" distR="0" wp14:anchorId="3927E63A" wp14:editId="2379E867">
            <wp:extent cx="1451787" cy="1722120"/>
            <wp:effectExtent l="0" t="0" r="0" b="0"/>
            <wp:docPr id="309186969" name="Picture 1" descr="Badge of the Canadian Materiel Suppo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Materiel Support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724" cy="1731535"/>
                    </a:xfrm>
                    <a:prstGeom prst="rect">
                      <a:avLst/>
                    </a:prstGeom>
                    <a:noFill/>
                    <a:ln>
                      <a:noFill/>
                    </a:ln>
                  </pic:spPr>
                </pic:pic>
              </a:graphicData>
            </a:graphic>
          </wp:inline>
        </w:drawing>
      </w:r>
      <w:r w:rsidR="003278FF">
        <w:rPr>
          <w:noProof/>
        </w:rPr>
        <w:drawing>
          <wp:inline distT="0" distB="0" distL="0" distR="0" wp14:anchorId="2AC8A89D" wp14:editId="57FF6605">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230C21D0" w:rsidR="00DE25B7" w:rsidRPr="00A041F5" w:rsidRDefault="00A041F5" w:rsidP="00DE25B7">
      <w:pPr>
        <w:rPr>
          <w:rFonts w:ascii="Times New Roman" w:hAnsi="Times New Roman" w:cs="Times New Roman"/>
          <w:b/>
          <w:bCs/>
          <w:sz w:val="24"/>
          <w:szCs w:val="24"/>
          <w:lang w:val="fr-CA"/>
        </w:rPr>
      </w:pPr>
      <w:r w:rsidRPr="00A041F5">
        <w:rPr>
          <w:rFonts w:ascii="Times New Roman" w:hAnsi="Times New Roman" w:cs="Times New Roman"/>
          <w:b/>
          <w:bCs/>
          <w:sz w:val="24"/>
          <w:szCs w:val="24"/>
          <w:lang w:val="fr-CA"/>
        </w:rPr>
        <w:t xml:space="preserve">Rapport Groupe SMA </w:t>
      </w:r>
      <w:r w:rsidR="000A6923" w:rsidRPr="00A041F5">
        <w:rPr>
          <w:rFonts w:ascii="Times New Roman" w:hAnsi="Times New Roman" w:cs="Times New Roman"/>
          <w:b/>
          <w:bCs/>
          <w:sz w:val="24"/>
          <w:szCs w:val="24"/>
          <w:lang w:val="fr-CA"/>
        </w:rPr>
        <w:t>(Mat)</w:t>
      </w:r>
    </w:p>
    <w:p w14:paraId="34F51773" w14:textId="77777777" w:rsidR="003278FF" w:rsidRPr="00A041F5" w:rsidRDefault="003278FF" w:rsidP="00DE25B7">
      <w:pPr>
        <w:rPr>
          <w:rFonts w:ascii="Times New Roman" w:hAnsi="Times New Roman" w:cs="Times New Roman"/>
          <w:sz w:val="24"/>
          <w:szCs w:val="24"/>
          <w:lang w:val="fr-CA"/>
        </w:rPr>
      </w:pPr>
    </w:p>
    <w:p w14:paraId="795BC2FC" w14:textId="64098A40"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Le CCSP d</w:t>
      </w:r>
      <w:r>
        <w:rPr>
          <w:rFonts w:ascii="Times New Roman" w:hAnsi="Times New Roman" w:cs="Times New Roman"/>
          <w:sz w:val="24"/>
          <w:szCs w:val="24"/>
          <w:lang w:val="fr-CA"/>
        </w:rPr>
        <w:t>u SMA</w:t>
      </w:r>
      <w:r w:rsidRPr="00A041F5">
        <w:rPr>
          <w:rFonts w:ascii="Times New Roman" w:hAnsi="Times New Roman" w:cs="Times New Roman"/>
          <w:sz w:val="24"/>
          <w:szCs w:val="24"/>
          <w:lang w:val="fr-CA"/>
        </w:rPr>
        <w:t xml:space="preserve"> (Mat) s'est tenu le 7 décembre 2023.</w:t>
      </w:r>
    </w:p>
    <w:p w14:paraId="505438E1"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Le coprésident patronal, M. Troy Crosby, et le coprésident syndical, M. Adam Gray.</w:t>
      </w:r>
    </w:p>
    <w:p w14:paraId="4A16E8FA" w14:textId="77777777" w:rsidR="00A041F5" w:rsidRPr="00A041F5" w:rsidRDefault="00A041F5" w:rsidP="00A041F5">
      <w:pPr>
        <w:rPr>
          <w:rFonts w:ascii="Times New Roman" w:hAnsi="Times New Roman" w:cs="Times New Roman"/>
          <w:sz w:val="24"/>
          <w:szCs w:val="24"/>
          <w:lang w:val="fr-CA"/>
        </w:rPr>
      </w:pPr>
    </w:p>
    <w:p w14:paraId="7C7FB171"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Il n'y a rien d'important à signaler depuis la dernière réunion du Conseil exécutif national, mais les points suivants demeurent pertinents.</w:t>
      </w:r>
    </w:p>
    <w:p w14:paraId="49C735A9" w14:textId="77777777" w:rsidR="00A041F5" w:rsidRPr="00A041F5" w:rsidRDefault="00A041F5" w:rsidP="00A041F5">
      <w:pPr>
        <w:rPr>
          <w:rFonts w:ascii="Times New Roman" w:hAnsi="Times New Roman" w:cs="Times New Roman"/>
          <w:sz w:val="24"/>
          <w:szCs w:val="24"/>
          <w:lang w:val="fr-CA"/>
        </w:rPr>
      </w:pPr>
    </w:p>
    <w:p w14:paraId="7A6266BD"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SMA (Mat) :</w:t>
      </w:r>
    </w:p>
    <w:p w14:paraId="2C0C5267"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 xml:space="preserve">Sécurité des employés et du milieu de travail autour du 25 Nicholas et du 400 Cumberland. Le </w:t>
      </w:r>
      <w:proofErr w:type="spellStart"/>
      <w:r w:rsidRPr="00A041F5">
        <w:rPr>
          <w:rFonts w:ascii="Times New Roman" w:hAnsi="Times New Roman" w:cs="Times New Roman"/>
          <w:sz w:val="24"/>
          <w:szCs w:val="24"/>
          <w:lang w:val="fr-CA"/>
        </w:rPr>
        <w:t>Mgén</w:t>
      </w:r>
      <w:proofErr w:type="spellEnd"/>
      <w:r w:rsidRPr="00A041F5">
        <w:rPr>
          <w:rFonts w:ascii="Times New Roman" w:hAnsi="Times New Roman" w:cs="Times New Roman"/>
          <w:sz w:val="24"/>
          <w:szCs w:val="24"/>
          <w:lang w:val="fr-CA"/>
        </w:rPr>
        <w:t xml:space="preserve"> </w:t>
      </w:r>
      <w:proofErr w:type="spellStart"/>
      <w:r w:rsidRPr="00A041F5">
        <w:rPr>
          <w:rFonts w:ascii="Times New Roman" w:hAnsi="Times New Roman" w:cs="Times New Roman"/>
          <w:sz w:val="24"/>
          <w:szCs w:val="24"/>
          <w:lang w:val="fr-CA"/>
        </w:rPr>
        <w:t>Dundon</w:t>
      </w:r>
      <w:proofErr w:type="spellEnd"/>
      <w:r w:rsidRPr="00A041F5">
        <w:rPr>
          <w:rFonts w:ascii="Times New Roman" w:hAnsi="Times New Roman" w:cs="Times New Roman"/>
          <w:sz w:val="24"/>
          <w:szCs w:val="24"/>
          <w:lang w:val="fr-CA"/>
        </w:rPr>
        <w:t xml:space="preserve"> fait le point sur les problèmes de sécurité autour de ces deux sites et sur les plans mis en place pour déplacer les employés du Groupe des matériels qui y travaillent vers d'autres sites, principalement le 101 Col By (bâtiment </w:t>
      </w:r>
      <w:proofErr w:type="spellStart"/>
      <w:r w:rsidRPr="00A041F5">
        <w:rPr>
          <w:rFonts w:ascii="Times New Roman" w:hAnsi="Times New Roman" w:cs="Times New Roman"/>
          <w:sz w:val="24"/>
          <w:szCs w:val="24"/>
          <w:lang w:val="fr-CA"/>
        </w:rPr>
        <w:t>Pearkes</w:t>
      </w:r>
      <w:proofErr w:type="spellEnd"/>
      <w:r w:rsidRPr="00A041F5">
        <w:rPr>
          <w:rFonts w:ascii="Times New Roman" w:hAnsi="Times New Roman" w:cs="Times New Roman"/>
          <w:sz w:val="24"/>
          <w:szCs w:val="24"/>
          <w:lang w:val="fr-CA"/>
        </w:rPr>
        <w:t>).</w:t>
      </w:r>
    </w:p>
    <w:p w14:paraId="6FC20910"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Lieux de travail du groupe Matériel pour les bureaux dédiés. Il existe un plan pluriannuel visant à regrouper les employés du groupe Matériel dans l'un des trois sites suivants : 455 de la Carrière, l'Imprimerie nationale et le campus Carling. Il est possible que le 105 Hôtel de Ville soit également conservé. Les délais sont provisoires en raison de facteurs tels que les modifications et les mises à jour des espaces de travail, la construction de nouvelles installations QETE à la CNP et le déménagement du personnel et du matériel de bureau.  Des études sont également en cours sur les niveaux d'occupation des bâtiments dans une situation de travail hybride.</w:t>
      </w:r>
    </w:p>
    <w:p w14:paraId="01E2AE3E" w14:textId="77777777" w:rsidR="00A041F5" w:rsidRPr="00A041F5" w:rsidRDefault="00A041F5" w:rsidP="00A041F5">
      <w:pPr>
        <w:rPr>
          <w:rFonts w:ascii="Times New Roman" w:hAnsi="Times New Roman" w:cs="Times New Roman"/>
          <w:sz w:val="24"/>
          <w:szCs w:val="24"/>
          <w:lang w:val="fr-CA"/>
        </w:rPr>
      </w:pPr>
    </w:p>
    <w:p w14:paraId="704324B6" w14:textId="77777777" w:rsidR="00A041F5" w:rsidRPr="00A041F5" w:rsidRDefault="00A041F5" w:rsidP="00A041F5">
      <w:pPr>
        <w:rPr>
          <w:rFonts w:ascii="Times New Roman" w:hAnsi="Times New Roman" w:cs="Times New Roman"/>
          <w:sz w:val="24"/>
          <w:szCs w:val="24"/>
          <w:lang w:val="fr-CA"/>
        </w:rPr>
      </w:pPr>
    </w:p>
    <w:p w14:paraId="5AE4500E"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Flexibilité du personnel (processus et actions non annoncés)</w:t>
      </w:r>
    </w:p>
    <w:p w14:paraId="03E01643"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Utilisation d'un processus de recrutement non annoncé</w:t>
      </w:r>
    </w:p>
    <w:p w14:paraId="46C2AE67"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lastRenderedPageBreak/>
        <w:t xml:space="preserve">- Il n'y a pas de préférence politique entre les nominations annoncées et non annoncées, mais les gestionnaires recruteurs peuvent prendre en compte l'accès, la transparence, la justice, l'équité, les exigences opérationnelles, les besoins de l'organisation, l'accessibilité financière et l'efficacité. </w:t>
      </w:r>
    </w:p>
    <w:p w14:paraId="35A989BF"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 xml:space="preserve">- Les nominations non annoncées peuvent être l'option initiale (via la recherche de candidats) OU une option alternative, en fonction de la disponibilité des candidats issus d'un processus annoncé. </w:t>
      </w:r>
    </w:p>
    <w:p w14:paraId="4416468B"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 Pour les nominations internes non annoncées, la notification et le recours sont fournis à ceux qui se trouvent dans la zone de sélection, c'est-à-dire ceux qui auraient pu raisonnablement constituer le vivier de recrutement pour la nomination (organisation, unité, lieu, etc.). Le recours en cas de nomination annoncée est offert aux candidats internes dans le cadre du processus utilisé.</w:t>
      </w:r>
    </w:p>
    <w:p w14:paraId="259D1A64"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 Comme pour les autres nominations fondées sur le mérite, les critères essentiels doivent être remplis, de même que les conditions d'emploi.</w:t>
      </w:r>
    </w:p>
    <w:p w14:paraId="170A2448"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 xml:space="preserve">- Dans le cas d'un processus de dotation non annoncé, une évaluation narrative est acceptable et couramment utilisée, et une solide articulation de la décision de sélection est importante.  </w:t>
      </w:r>
    </w:p>
    <w:p w14:paraId="7B1E893D" w14:textId="77777777" w:rsidR="00A041F5" w:rsidRPr="00A041F5" w:rsidRDefault="00A041F5" w:rsidP="00A041F5">
      <w:pPr>
        <w:rPr>
          <w:rFonts w:ascii="Times New Roman" w:hAnsi="Times New Roman" w:cs="Times New Roman"/>
          <w:sz w:val="24"/>
          <w:szCs w:val="24"/>
          <w:lang w:val="fr-CA"/>
        </w:rPr>
      </w:pPr>
      <w:r w:rsidRPr="00A041F5">
        <w:rPr>
          <w:rFonts w:ascii="Times New Roman" w:hAnsi="Times New Roman" w:cs="Times New Roman"/>
          <w:sz w:val="24"/>
          <w:szCs w:val="24"/>
          <w:lang w:val="fr-CA"/>
        </w:rPr>
        <w:t>Remarque : il n'est pas nécessaire qu'un employé dispose d'un plan de gestion des talents pour bénéficier d'une possibilité d'intérim. Les possibilités d'intérim sont une option efficace et temporaire pour pourvoir les postes vacants. Pour les opportunités de moins de 4 mois, le mérite ne doit pas nécessairement être satisfait, pour les opportunités de 4 mois ou plus, le mérite doit être évalué/ satisfait, y compris les langues officielles dans la plupart des cas. Avantages pour le gestionnaire : remplacement pour des besoins opérationnels (le titulaire est en congé ou a libéré son poste) ; mesure provisoire pendant la période de stabilisation ou de recrutement pour une durée indéterminée ; augmentation de la capacité de l'équipe (si l'acteur au sein de l'équipe) à effectuer des tâches de niveau supérieur. Avantages pour l'employé : possibilité de développement professionnel. Possibilités offertes par le plan de gestion des talents : Affectation intérimaire ; observation au poste de travail dans le domaine d'intérêt ; formation croisée dans le domaine d'intérêt : Mentorat (avoir ou être un mentor), jumelage avec un autre collègue ; Affectation/détachement/déploiement (au niveau) ; Participation à un comité ou à un groupe de travail (départemental, interdépartemental) ; Plan d'apprentissage - cours en ligne, mixte ou en classe, participation à une conférence, programme de leadership, etc. ; Formation en seconde langue officielle pour le maintien ou l'obtention d'un profil plus élevé ; Congé d'études non payé pour mettre à jour les titres / qualifications et/ou remboursement des frais de scolarité (pendant ou en dehors des heures de travail) ; Projets spéciaux assignés ; Toute autre activité élaborée conjointement par l'employé et l'employeur et financée par le temps de travail et/ou les fonds.</w:t>
      </w:r>
    </w:p>
    <w:p w14:paraId="539068B3" w14:textId="77777777" w:rsidR="00A041F5" w:rsidRDefault="00A041F5" w:rsidP="00A041F5">
      <w:pPr>
        <w:rPr>
          <w:rFonts w:ascii="Times New Roman" w:hAnsi="Times New Roman" w:cs="Times New Roman"/>
          <w:sz w:val="24"/>
          <w:szCs w:val="24"/>
          <w:lang w:val="fr-CA"/>
        </w:rPr>
      </w:pPr>
    </w:p>
    <w:p w14:paraId="5BD87FC9" w14:textId="5D45E01A" w:rsidR="00EC5E63" w:rsidRPr="00BD5E38" w:rsidRDefault="00EC5E63" w:rsidP="00A041F5">
      <w:pPr>
        <w:rPr>
          <w:rFonts w:ascii="Times New Roman" w:hAnsi="Times New Roman" w:cs="Times New Roman"/>
          <w:sz w:val="24"/>
          <w:szCs w:val="24"/>
        </w:rPr>
      </w:pPr>
      <w:proofErr w:type="spellStart"/>
      <w:r w:rsidRPr="00BD5E38">
        <w:rPr>
          <w:rFonts w:ascii="Times New Roman" w:hAnsi="Times New Roman" w:cs="Times New Roman"/>
          <w:sz w:val="24"/>
          <w:szCs w:val="24"/>
        </w:rPr>
        <w:t>Respect</w:t>
      </w:r>
      <w:r w:rsidR="00A041F5">
        <w:rPr>
          <w:rFonts w:ascii="Times New Roman" w:hAnsi="Times New Roman" w:cs="Times New Roman"/>
          <w:sz w:val="24"/>
          <w:szCs w:val="24"/>
        </w:rPr>
        <w:t>ueusement</w:t>
      </w:r>
      <w:proofErr w:type="spellEnd"/>
      <w:r w:rsidR="00A041F5">
        <w:rPr>
          <w:rFonts w:ascii="Times New Roman" w:hAnsi="Times New Roman" w:cs="Times New Roman"/>
          <w:sz w:val="24"/>
          <w:szCs w:val="24"/>
        </w:rPr>
        <w:t xml:space="preserve"> </w:t>
      </w:r>
      <w:proofErr w:type="spellStart"/>
      <w:r w:rsidR="00A041F5">
        <w:rPr>
          <w:rFonts w:ascii="Times New Roman" w:hAnsi="Times New Roman" w:cs="Times New Roman"/>
          <w:sz w:val="24"/>
          <w:szCs w:val="24"/>
        </w:rPr>
        <w:t>soumis</w:t>
      </w:r>
      <w:proofErr w:type="spellEnd"/>
      <w:r w:rsidRPr="00BD5E38">
        <w:rPr>
          <w:rFonts w:ascii="Times New Roman" w:hAnsi="Times New Roman" w:cs="Times New Roman"/>
          <w:sz w:val="24"/>
          <w:szCs w:val="24"/>
        </w:rPr>
        <w:t>,</w:t>
      </w:r>
    </w:p>
    <w:p w14:paraId="397773E6" w14:textId="77777777" w:rsidR="00C01B1D" w:rsidRPr="00BD5E38" w:rsidRDefault="00C01B1D" w:rsidP="00EC5E63">
      <w:pPr>
        <w:rPr>
          <w:rFonts w:ascii="Times New Roman" w:hAnsi="Times New Roman" w:cs="Times New Roman"/>
          <w:sz w:val="24"/>
          <w:szCs w:val="24"/>
        </w:rPr>
      </w:pPr>
    </w:p>
    <w:p w14:paraId="7BD6BC98" w14:textId="74B543EB" w:rsidR="00AB63E3" w:rsidRPr="00BD5E38" w:rsidRDefault="00EC5E63" w:rsidP="00AB63E3">
      <w:pPr>
        <w:rPr>
          <w:rFonts w:ascii="Times New Roman" w:hAnsi="Times New Roman" w:cs="Times New Roman"/>
          <w:sz w:val="24"/>
          <w:szCs w:val="24"/>
        </w:rPr>
      </w:pPr>
      <w:r w:rsidRPr="00BD5E38">
        <w:rPr>
          <w:rFonts w:ascii="Times New Roman" w:hAnsi="Times New Roman" w:cs="Times New Roman"/>
          <w:sz w:val="24"/>
          <w:szCs w:val="24"/>
        </w:rPr>
        <w:t>James Potts</w:t>
      </w:r>
    </w:p>
    <w:sectPr w:rsidR="00AB63E3" w:rsidRPr="00BD5E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A2637B"/>
    <w:multiLevelType w:val="hybridMultilevel"/>
    <w:tmpl w:val="53F42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CB02F55"/>
    <w:multiLevelType w:val="hybridMultilevel"/>
    <w:tmpl w:val="34340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5"/>
  </w:num>
  <w:num w:numId="2" w16cid:durableId="1502088290">
    <w:abstractNumId w:val="8"/>
  </w:num>
  <w:num w:numId="3" w16cid:durableId="130903680">
    <w:abstractNumId w:val="1"/>
  </w:num>
  <w:num w:numId="4" w16cid:durableId="2065061563">
    <w:abstractNumId w:val="0"/>
  </w:num>
  <w:num w:numId="5" w16cid:durableId="208536204">
    <w:abstractNumId w:val="3"/>
  </w:num>
  <w:num w:numId="6" w16cid:durableId="1364133684">
    <w:abstractNumId w:val="10"/>
  </w:num>
  <w:num w:numId="7" w16cid:durableId="640887109">
    <w:abstractNumId w:val="9"/>
  </w:num>
  <w:num w:numId="8" w16cid:durableId="1218779758">
    <w:abstractNumId w:val="4"/>
  </w:num>
  <w:num w:numId="9" w16cid:durableId="1081684818">
    <w:abstractNumId w:val="2"/>
  </w:num>
  <w:num w:numId="10" w16cid:durableId="1253852115">
    <w:abstractNumId w:val="6"/>
  </w:num>
  <w:num w:numId="11" w16cid:durableId="1019548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335F4"/>
    <w:rsid w:val="000A422E"/>
    <w:rsid w:val="000A6923"/>
    <w:rsid w:val="000C338C"/>
    <w:rsid w:val="00111696"/>
    <w:rsid w:val="0013351F"/>
    <w:rsid w:val="00171002"/>
    <w:rsid w:val="001F374F"/>
    <w:rsid w:val="00220618"/>
    <w:rsid w:val="0024468E"/>
    <w:rsid w:val="00246503"/>
    <w:rsid w:val="00310FEB"/>
    <w:rsid w:val="0032683F"/>
    <w:rsid w:val="003278FF"/>
    <w:rsid w:val="004A425F"/>
    <w:rsid w:val="004A7476"/>
    <w:rsid w:val="00514EFB"/>
    <w:rsid w:val="00547C68"/>
    <w:rsid w:val="005D415C"/>
    <w:rsid w:val="006210D2"/>
    <w:rsid w:val="00623B7A"/>
    <w:rsid w:val="006F77B7"/>
    <w:rsid w:val="00714DCA"/>
    <w:rsid w:val="00735621"/>
    <w:rsid w:val="00736EE2"/>
    <w:rsid w:val="007537CD"/>
    <w:rsid w:val="007B06E6"/>
    <w:rsid w:val="007F5B5C"/>
    <w:rsid w:val="00815675"/>
    <w:rsid w:val="00845ECB"/>
    <w:rsid w:val="008C49A9"/>
    <w:rsid w:val="008F2F45"/>
    <w:rsid w:val="00943614"/>
    <w:rsid w:val="00971B5F"/>
    <w:rsid w:val="00A041F5"/>
    <w:rsid w:val="00A46BCB"/>
    <w:rsid w:val="00A5505F"/>
    <w:rsid w:val="00A77CBF"/>
    <w:rsid w:val="00AB63E3"/>
    <w:rsid w:val="00AC5C9C"/>
    <w:rsid w:val="00AD5758"/>
    <w:rsid w:val="00AE476E"/>
    <w:rsid w:val="00B47D6F"/>
    <w:rsid w:val="00BC4E2F"/>
    <w:rsid w:val="00BD5E38"/>
    <w:rsid w:val="00C01B1D"/>
    <w:rsid w:val="00C03F04"/>
    <w:rsid w:val="00C1524A"/>
    <w:rsid w:val="00C24B6F"/>
    <w:rsid w:val="00CB030C"/>
    <w:rsid w:val="00CF6CA6"/>
    <w:rsid w:val="00D17291"/>
    <w:rsid w:val="00D768F0"/>
    <w:rsid w:val="00D81256"/>
    <w:rsid w:val="00DA656C"/>
    <w:rsid w:val="00DB7E7F"/>
    <w:rsid w:val="00DE25B7"/>
    <w:rsid w:val="00E44835"/>
    <w:rsid w:val="00E4484F"/>
    <w:rsid w:val="00E80C7D"/>
    <w:rsid w:val="00EC5E63"/>
    <w:rsid w:val="00F44D20"/>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4</cp:revision>
  <dcterms:created xsi:type="dcterms:W3CDTF">2024-05-14T14:34:00Z</dcterms:created>
  <dcterms:modified xsi:type="dcterms:W3CDTF">2024-05-15T14:39:00Z</dcterms:modified>
</cp:coreProperties>
</file>