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5">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79335EBB" w:rsidR="009929C8" w:rsidRPr="00303F5E" w:rsidRDefault="009929C8" w:rsidP="00A16555">
            <w:pPr>
              <w:pStyle w:val="Titre"/>
              <w:ind w:left="0"/>
              <w:jc w:val="center"/>
              <w:rPr>
                <w:color w:val="000099"/>
              </w:rPr>
            </w:pPr>
            <w:r w:rsidRPr="00303F5E">
              <w:rPr>
                <w:color w:val="000099"/>
              </w:rPr>
              <w:t xml:space="preserve">Rapport </w:t>
            </w:r>
            <w:r>
              <w:rPr>
                <w:color w:val="000099"/>
              </w:rPr>
              <w:t>ArMée canadienne</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7A439C57" w:rsidR="009929C8" w:rsidRPr="00303F5E" w:rsidRDefault="009929C8" w:rsidP="00A16555">
            <w:pPr>
              <w:pStyle w:val="Coordonnes"/>
              <w:rPr>
                <w:color w:val="000099"/>
              </w:rPr>
            </w:pPr>
            <w:r w:rsidRPr="00303F5E">
              <w:rPr>
                <w:color w:val="000099"/>
              </w:rPr>
              <w:t>1</w:t>
            </w:r>
            <w:r w:rsidRPr="00303F5E">
              <w:rPr>
                <w:color w:val="000099"/>
                <w:vertAlign w:val="superscript"/>
              </w:rPr>
              <w:t>er</w:t>
            </w:r>
            <w:r w:rsidRPr="00303F5E">
              <w:rPr>
                <w:color w:val="000099"/>
              </w:rPr>
              <w:t xml:space="preserve"> </w:t>
            </w:r>
            <w:r w:rsidR="000168DA">
              <w:rPr>
                <w:color w:val="000099"/>
              </w:rPr>
              <w:t>décembre</w:t>
            </w:r>
            <w:r w:rsidRPr="00303F5E">
              <w:rPr>
                <w:color w:val="000099"/>
              </w:rPr>
              <w:t xml:space="preserve"> 2024 – 1</w:t>
            </w:r>
            <w:r w:rsidRPr="00303F5E">
              <w:rPr>
                <w:color w:val="000099"/>
                <w:vertAlign w:val="superscript"/>
              </w:rPr>
              <w:t>er</w:t>
            </w:r>
            <w:r w:rsidRPr="00303F5E">
              <w:rPr>
                <w:color w:val="000099"/>
              </w:rPr>
              <w:t xml:space="preserve"> </w:t>
            </w:r>
            <w:r w:rsidR="000168DA">
              <w:rPr>
                <w:color w:val="000099"/>
              </w:rPr>
              <w:t>avril 2025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097701F8" w:rsidR="009929C8" w:rsidRPr="00303F5E" w:rsidRDefault="009929C8" w:rsidP="00B85DA7">
            <w:pPr>
              <w:pStyle w:val="Informationssurlarunion"/>
              <w:rPr>
                <w:color w:val="000099"/>
              </w:rPr>
            </w:pPr>
            <w:r w:rsidRPr="00303F5E">
              <w:rPr>
                <w:color w:val="000099"/>
                <w:lang w:bidi="fr-CA"/>
              </w:rPr>
              <w:t>VPAR </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7EDDDAA5" w14:textId="43435B62" w:rsidR="009929C8" w:rsidRDefault="009929C8" w:rsidP="000168DA">
      <w:pPr>
        <w:rPr>
          <w:u w:val="single"/>
        </w:rPr>
      </w:pPr>
    </w:p>
    <w:p w14:paraId="73D2B54C" w14:textId="43EA09BB" w:rsidR="000168DA" w:rsidRPr="00085DE4" w:rsidRDefault="000168DA" w:rsidP="000168DA">
      <w:pPr>
        <w:pStyle w:val="Paragraphedeliste"/>
        <w:numPr>
          <w:ilvl w:val="0"/>
          <w:numId w:val="2"/>
        </w:numPr>
        <w:rPr>
          <w:u w:val="single"/>
        </w:rPr>
      </w:pPr>
      <w:r>
        <w:t>Liste des organisations sous armée Canadienne </w:t>
      </w:r>
      <w:r w:rsidR="00085DE4">
        <w:t>(voir Annexe A)</w:t>
      </w:r>
    </w:p>
    <w:p w14:paraId="47861089" w14:textId="3D9FB21D" w:rsidR="00085DE4" w:rsidRPr="00085DE4" w:rsidRDefault="00085DE4" w:rsidP="00085DE4">
      <w:pPr>
        <w:pStyle w:val="Paragraphedeliste"/>
        <w:numPr>
          <w:ilvl w:val="0"/>
          <w:numId w:val="2"/>
        </w:numPr>
        <w:spacing w:before="0" w:after="0"/>
        <w:ind w:right="0"/>
        <w:rPr>
          <w:rFonts w:ascii="Times New Roman" w:eastAsia="Times New Roman" w:hAnsi="Times New Roman" w:cs="Times New Roman"/>
          <w:kern w:val="0"/>
          <w:szCs w:val="24"/>
          <w:lang w:eastAsia="fr-CA"/>
        </w:rPr>
      </w:pPr>
      <w:r>
        <w:rPr>
          <w:rFonts w:ascii="Aptos" w:eastAsia="Times New Roman" w:hAnsi="Aptos" w:cs="Times New Roman"/>
          <w:kern w:val="0"/>
          <w:szCs w:val="24"/>
          <w:lang w:eastAsia="fr-CA"/>
        </w:rPr>
        <w:t>N</w:t>
      </w:r>
      <w:r w:rsidRPr="00085DE4">
        <w:rPr>
          <w:rFonts w:ascii="Aptos" w:eastAsia="Times New Roman" w:hAnsi="Aptos" w:cs="Times New Roman"/>
          <w:kern w:val="0"/>
          <w:szCs w:val="24"/>
          <w:lang w:eastAsia="fr-CA"/>
        </w:rPr>
        <w:t>ombre d’employés représentés par chaque syndicat au sein de l’AC</w:t>
      </w:r>
      <w:r>
        <w:rPr>
          <w:rFonts w:ascii="Aptos" w:eastAsia="Times New Roman" w:hAnsi="Aptos" w:cs="Times New Roman"/>
          <w:kern w:val="0"/>
          <w:szCs w:val="24"/>
          <w:lang w:eastAsia="fr-CA"/>
        </w:rPr>
        <w:t> :</w:t>
      </w:r>
    </w:p>
    <w:p w14:paraId="4FB4E6D7"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PSAC : 2828</w:t>
      </w:r>
    </w:p>
    <w:p w14:paraId="6A08A7A9"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PIPS : 437</w:t>
      </w:r>
    </w:p>
    <w:p w14:paraId="6914EB43"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ACFO : 44</w:t>
      </w:r>
    </w:p>
    <w:p w14:paraId="6292669E"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IBEW : 35</w:t>
      </w:r>
    </w:p>
    <w:p w14:paraId="2577B037"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CAPE : 8</w:t>
      </w:r>
    </w:p>
    <w:p w14:paraId="7BAFE845" w14:textId="77777777" w:rsidR="00102C13" w:rsidRDefault="00102C13" w:rsidP="00102C13">
      <w:pPr>
        <w:pStyle w:val="xmsonormal"/>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Non représentés : 129</w:t>
      </w:r>
    </w:p>
    <w:p w14:paraId="15C6B2B6" w14:textId="77777777" w:rsidR="00085DE4" w:rsidRPr="00085DE4" w:rsidRDefault="00085DE4" w:rsidP="00102C13">
      <w:pPr>
        <w:pStyle w:val="Paragraphedeliste"/>
        <w:spacing w:before="0" w:after="0"/>
        <w:ind w:left="2160" w:right="0"/>
        <w:rPr>
          <w:rFonts w:ascii="Times New Roman" w:eastAsia="Times New Roman" w:hAnsi="Times New Roman" w:cs="Times New Roman"/>
          <w:kern w:val="0"/>
          <w:szCs w:val="24"/>
          <w:lang w:eastAsia="fr-CA"/>
        </w:rPr>
      </w:pPr>
    </w:p>
    <w:p w14:paraId="5A9AE796" w14:textId="708F9D27" w:rsidR="00085DE4" w:rsidRPr="00102C13" w:rsidRDefault="00102C13" w:rsidP="000168DA">
      <w:pPr>
        <w:pStyle w:val="Paragraphedeliste"/>
        <w:numPr>
          <w:ilvl w:val="0"/>
          <w:numId w:val="2"/>
        </w:numPr>
        <w:rPr>
          <w:u w:val="single"/>
        </w:rPr>
      </w:pPr>
      <w:r>
        <w:t>Une proposition des termes de référence a été envoyée aux différents syndicats. (Voir annexe B).</w:t>
      </w:r>
    </w:p>
    <w:p w14:paraId="44FFCA18" w14:textId="08918B11" w:rsidR="00102C13" w:rsidRPr="00102C13" w:rsidRDefault="00102C13" w:rsidP="000168DA">
      <w:pPr>
        <w:pStyle w:val="Paragraphedeliste"/>
        <w:numPr>
          <w:ilvl w:val="0"/>
          <w:numId w:val="2"/>
        </w:numPr>
        <w:rPr>
          <w:u w:val="single"/>
        </w:rPr>
      </w:pPr>
      <w:r>
        <w:t>Voici mes commentaires </w:t>
      </w:r>
      <w:r w:rsidR="00FF58AA">
        <w:t>concernant les termes de référence proposés</w:t>
      </w:r>
      <w:r>
        <w:t>:</w:t>
      </w:r>
    </w:p>
    <w:p w14:paraId="082E1286" w14:textId="09E15100"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b/>
          <w:bCs/>
          <w:color w:val="242424"/>
          <w:sz w:val="22"/>
          <w:szCs w:val="22"/>
          <w:bdr w:val="none" w:sz="0" w:space="0" w:color="auto" w:frame="1"/>
        </w:rPr>
        <w:t>Invitations et ordre du jour</w:t>
      </w:r>
    </w:p>
    <w:p w14:paraId="6A8952D4" w14:textId="77777777" w:rsidR="00102C13" w:rsidRDefault="00102C13" w:rsidP="00102C13">
      <w:pPr>
        <w:pStyle w:val="xmsonormal"/>
        <w:shd w:val="clear" w:color="auto" w:fill="FFFFFF"/>
        <w:spacing w:before="0" w:beforeAutospacing="0" w:after="0" w:afterAutospacing="0"/>
        <w:ind w:left="360"/>
        <w:rPr>
          <w:rFonts w:ascii="Calibri" w:hAnsi="Calibri" w:cs="Calibri"/>
          <w:color w:val="242424"/>
          <w:sz w:val="22"/>
          <w:szCs w:val="22"/>
        </w:rPr>
      </w:pPr>
      <w:r>
        <w:rPr>
          <w:rFonts w:ascii="Aptos" w:hAnsi="Aptos" w:cs="Calibri"/>
          <w:color w:val="242424"/>
          <w:sz w:val="22"/>
          <w:szCs w:val="22"/>
          <w:bdr w:val="none" w:sz="0" w:space="0" w:color="auto" w:frame="1"/>
        </w:rPr>
        <w:t>6.Conformément à la </w:t>
      </w:r>
      <w:bookmarkStart w:id="0" w:name="x_OLE_LINK4"/>
      <w:r>
        <w:rPr>
          <w:rFonts w:ascii="Aptos" w:hAnsi="Aptos" w:cs="Calibri"/>
          <w:color w:val="242424"/>
          <w:sz w:val="22"/>
          <w:szCs w:val="22"/>
          <w:bdr w:val="none" w:sz="0" w:space="0" w:color="auto" w:frame="1"/>
        </w:rPr>
        <w:t>réf. D </w:t>
      </w:r>
      <w:bookmarkEnd w:id="0"/>
      <w:r>
        <w:rPr>
          <w:rFonts w:ascii="Aptos" w:hAnsi="Aptos" w:cs="Calibri"/>
          <w:color w:val="242424"/>
          <w:sz w:val="22"/>
          <w:szCs w:val="22"/>
          <w:bdr w:val="none" w:sz="0" w:space="0" w:color="auto" w:frame="1"/>
        </w:rPr>
        <w:t>dans le bloc 6, une invitation sera envoyée les semaines précédant l’événement pour confirmation de présences et recueillir les points à l’ordre du jour. Ladite invitation sera envoyée à plus de deux semaines précédant la rencontre. Les points de discussions devront être retournées au moins une semaine avant la tenue de la rencontre. Au-delà du délai de la semaine, les points ne seront pas inscrits à l’agenda, mais peuvent être discutés avec l’accord des co-présidents. </w:t>
      </w:r>
      <w:r>
        <w:rPr>
          <w:rFonts w:ascii="Aptos" w:hAnsi="Aptos" w:cs="Calibri"/>
          <w:strike/>
          <w:color w:val="242424"/>
          <w:sz w:val="22"/>
          <w:szCs w:val="22"/>
          <w:bdr w:val="none" w:sz="0" w:space="0" w:color="auto" w:frame="1"/>
        </w:rPr>
        <w:t>En cas d’impossibilité d’être présent pour une des parties lors du CCSP, le participant devrait trouver un substitut ou remplaçant pour l’événement.</w:t>
      </w:r>
      <w:r>
        <w:rPr>
          <w:rFonts w:ascii="Noto Sans" w:hAnsi="Noto Sans" w:cs="Noto Sans"/>
          <w:color w:val="333333"/>
          <w:sz w:val="30"/>
          <w:szCs w:val="30"/>
          <w:bdr w:val="none" w:sz="0" w:space="0" w:color="auto" w:frame="1"/>
          <w:shd w:val="clear" w:color="auto" w:fill="FFFFFF"/>
        </w:rPr>
        <w:t> </w:t>
      </w:r>
      <w:r>
        <w:rPr>
          <w:rFonts w:ascii="Aptos" w:hAnsi="Aptos" w:cs="Calibri"/>
          <w:color w:val="FF0000"/>
          <w:sz w:val="22"/>
          <w:szCs w:val="22"/>
          <w:bdr w:val="none" w:sz="0" w:space="0" w:color="auto" w:frame="1"/>
        </w:rPr>
        <w:t xml:space="preserve">La participation de substituts ou de remplaçants à une réunion donnée du CCPS doit être tenue au minimum, La stabilité au titre de la participation fait partie de l'engagement pris au moment de se </w:t>
      </w:r>
      <w:r>
        <w:rPr>
          <w:rFonts w:ascii="Aptos" w:hAnsi="Aptos" w:cs="Calibri"/>
          <w:color w:val="FF0000"/>
          <w:sz w:val="22"/>
          <w:szCs w:val="22"/>
          <w:bdr w:val="none" w:sz="0" w:space="0" w:color="auto" w:frame="1"/>
        </w:rPr>
        <w:lastRenderedPageBreak/>
        <w:t>joindre à un CCPS, car elle permet d'assurer le maintien des relations et la continuité dans la gestion des dossiers. Les co-présidents doivent donc s’assurer, à l’avance, que les représentants désignés seront disponibles à la date fixée de la réunion.</w:t>
      </w:r>
    </w:p>
    <w:p w14:paraId="313B790A" w14:textId="77777777" w:rsidR="00102C13" w:rsidRDefault="00102C13" w:rsidP="00102C13">
      <w:pPr>
        <w:pStyle w:val="xmsonormal"/>
        <w:shd w:val="clear" w:color="auto" w:fill="FFFFFF"/>
        <w:spacing w:before="0" w:beforeAutospacing="0" w:after="0" w:afterAutospacing="0"/>
        <w:ind w:left="360"/>
        <w:rPr>
          <w:rFonts w:ascii="Calibri" w:hAnsi="Calibri" w:cs="Calibri"/>
          <w:color w:val="242424"/>
          <w:sz w:val="22"/>
          <w:szCs w:val="22"/>
        </w:rPr>
      </w:pPr>
      <w:bookmarkStart w:id="1" w:name="x_OLE_LINK1"/>
      <w:r>
        <w:rPr>
          <w:rFonts w:ascii="Aptos" w:hAnsi="Aptos" w:cs="Calibri"/>
          <w:color w:val="242424"/>
          <w:sz w:val="22"/>
          <w:szCs w:val="22"/>
          <w:bdr w:val="none" w:sz="0" w:space="0" w:color="auto" w:frame="1"/>
        </w:rPr>
        <w:t>Des experts en la matière (intervenants) peuvent être invités au CCSP; leur présence devra être annoncée dans les semaines précédentes l’événement. L’annonce doit se faire par l’entremise des correspondances de coordination, et leurs points de discussion devront être identifiés dans l’ordre du jour.</w:t>
      </w:r>
      <w:bookmarkEnd w:id="1"/>
      <w:r>
        <w:rPr>
          <w:rFonts w:ascii="Aptos" w:hAnsi="Aptos" w:cs="Calibri"/>
          <w:color w:val="242424"/>
          <w:sz w:val="22"/>
          <w:szCs w:val="22"/>
          <w:bdr w:val="none" w:sz="0" w:space="0" w:color="auto" w:frame="1"/>
        </w:rPr>
        <w:t> Chacune des parties auront une copie de l’ordre du jour avant le jour du CCSP.</w:t>
      </w:r>
    </w:p>
    <w:p w14:paraId="519F4F4C" w14:textId="77777777"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67B1E834" w14:textId="77777777"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619ABE31" w14:textId="7ADF0403"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b/>
          <w:bCs/>
          <w:color w:val="242424"/>
          <w:sz w:val="22"/>
          <w:szCs w:val="22"/>
          <w:bdr w:val="none" w:sz="0" w:space="0" w:color="auto" w:frame="1"/>
        </w:rPr>
        <w:t>Co-Présidence</w:t>
      </w:r>
    </w:p>
    <w:p w14:paraId="087F4F8C" w14:textId="77777777" w:rsidR="00102C13" w:rsidRDefault="00102C13" w:rsidP="00102C13">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Chacune des parties </w:t>
      </w:r>
      <w:r>
        <w:rPr>
          <w:rFonts w:ascii="Aptos" w:hAnsi="Aptos" w:cs="Calibri"/>
          <w:color w:val="FF0000"/>
          <w:sz w:val="22"/>
          <w:szCs w:val="22"/>
          <w:bdr w:val="none" w:sz="0" w:space="0" w:color="auto" w:frame="1"/>
        </w:rPr>
        <w:t>a</w:t>
      </w:r>
      <w:r>
        <w:rPr>
          <w:rFonts w:ascii="Aptos" w:hAnsi="Aptos" w:cs="Calibri"/>
          <w:color w:val="242424"/>
          <w:sz w:val="22"/>
          <w:szCs w:val="22"/>
          <w:bdr w:val="none" w:sz="0" w:space="0" w:color="auto" w:frame="1"/>
        </w:rPr>
        <w:t> un rôle important dans la contribution du CCSP. </w:t>
      </w:r>
      <w:r>
        <w:rPr>
          <w:rFonts w:ascii="Aptos" w:hAnsi="Aptos" w:cs="Calibri"/>
          <w:strike/>
          <w:color w:val="242424"/>
          <w:sz w:val="22"/>
          <w:szCs w:val="22"/>
          <w:bdr w:val="none" w:sz="0" w:space="0" w:color="auto" w:frame="1"/>
        </w:rPr>
        <w:t xml:space="preserve">Par extension, le co-président syndical sera en rotation pour garantir que tous les syndicats aient une égalité de chances de s'engager avec le </w:t>
      </w:r>
      <w:proofErr w:type="spellStart"/>
      <w:r>
        <w:rPr>
          <w:rFonts w:ascii="Aptos" w:hAnsi="Aptos" w:cs="Calibri"/>
          <w:strike/>
          <w:color w:val="242424"/>
          <w:sz w:val="22"/>
          <w:szCs w:val="22"/>
          <w:bdr w:val="none" w:sz="0" w:space="0" w:color="auto" w:frame="1"/>
        </w:rPr>
        <w:t>Cmdt</w:t>
      </w:r>
      <w:proofErr w:type="spellEnd"/>
      <w:r>
        <w:rPr>
          <w:rFonts w:ascii="Aptos" w:hAnsi="Aptos" w:cs="Calibri"/>
          <w:strike/>
          <w:color w:val="242424"/>
          <w:sz w:val="22"/>
          <w:szCs w:val="22"/>
          <w:bdr w:val="none" w:sz="0" w:space="0" w:color="auto" w:frame="1"/>
        </w:rPr>
        <w:t xml:space="preserve"> AC et le comité</w:t>
      </w:r>
      <w:r>
        <w:rPr>
          <w:rFonts w:ascii="Aptos" w:hAnsi="Aptos" w:cs="Calibri"/>
          <w:color w:val="242424"/>
          <w:sz w:val="22"/>
          <w:szCs w:val="22"/>
          <w:bdr w:val="none" w:sz="0" w:space="0" w:color="auto" w:frame="1"/>
        </w:rPr>
        <w:t>. Les syndicats se consulteront afin de déterminer</w:t>
      </w:r>
      <w:r>
        <w:rPr>
          <w:rFonts w:ascii="Aptos" w:hAnsi="Aptos" w:cs="Calibri"/>
          <w:strike/>
          <w:color w:val="242424"/>
          <w:sz w:val="22"/>
          <w:szCs w:val="22"/>
          <w:bdr w:val="none" w:sz="0" w:space="0" w:color="auto" w:frame="1"/>
        </w:rPr>
        <w:t> </w:t>
      </w:r>
      <w:bookmarkStart w:id="2" w:name="x__Hlk184708691"/>
      <w:r>
        <w:rPr>
          <w:rFonts w:ascii="Aptos" w:hAnsi="Aptos" w:cs="Calibri"/>
          <w:strike/>
          <w:color w:val="242424"/>
          <w:sz w:val="22"/>
          <w:szCs w:val="22"/>
          <w:bdr w:val="none" w:sz="0" w:space="0" w:color="auto" w:frame="1"/>
        </w:rPr>
        <w:t>le terme du mandat et</w:t>
      </w:r>
      <w:bookmarkEnd w:id="2"/>
      <w:r>
        <w:rPr>
          <w:rFonts w:ascii="Aptos" w:hAnsi="Aptos" w:cs="Calibri"/>
          <w:color w:val="242424"/>
          <w:sz w:val="22"/>
          <w:szCs w:val="22"/>
          <w:bdr w:val="none" w:sz="0" w:space="0" w:color="auto" w:frame="1"/>
        </w:rPr>
        <w:t> quelle partie siègera à titre de co-président </w:t>
      </w:r>
      <w:r>
        <w:rPr>
          <w:rFonts w:ascii="Aptos" w:hAnsi="Aptos" w:cs="Calibri"/>
          <w:color w:val="FF0000"/>
          <w:sz w:val="22"/>
          <w:szCs w:val="22"/>
          <w:bdr w:val="none" w:sz="0" w:space="0" w:color="auto" w:frame="1"/>
        </w:rPr>
        <w:t>pour le prochain terme du mandat</w:t>
      </w:r>
      <w:r>
        <w:rPr>
          <w:rFonts w:ascii="Aptos" w:hAnsi="Aptos" w:cs="Calibri"/>
          <w:color w:val="242424"/>
          <w:sz w:val="22"/>
          <w:szCs w:val="22"/>
          <w:bdr w:val="none" w:sz="0" w:space="0" w:color="auto" w:frame="1"/>
        </w:rPr>
        <w:t>. </w:t>
      </w:r>
      <w:r>
        <w:rPr>
          <w:rFonts w:ascii="Aptos" w:hAnsi="Aptos" w:cs="Calibri"/>
          <w:strike/>
          <w:color w:val="242424"/>
          <w:sz w:val="22"/>
          <w:szCs w:val="22"/>
          <w:bdr w:val="none" w:sz="0" w:space="0" w:color="auto" w:frame="1"/>
        </w:rPr>
        <w:t>Ce dernier devra notifier sa participation à la partie patronale un minimum de 60 jours avant le CCSP</w:t>
      </w:r>
      <w:r>
        <w:rPr>
          <w:rFonts w:ascii="Aptos" w:hAnsi="Aptos" w:cs="Calibri"/>
          <w:color w:val="242424"/>
          <w:sz w:val="22"/>
          <w:szCs w:val="22"/>
          <w:bdr w:val="none" w:sz="0" w:space="0" w:color="auto" w:frame="1"/>
        </w:rPr>
        <w:t xml:space="preserve">. Le CCSP sera co-présidé par le </w:t>
      </w:r>
      <w:proofErr w:type="spellStart"/>
      <w:r>
        <w:rPr>
          <w:rFonts w:ascii="Aptos" w:hAnsi="Aptos" w:cs="Calibri"/>
          <w:color w:val="242424"/>
          <w:sz w:val="22"/>
          <w:szCs w:val="22"/>
          <w:bdr w:val="none" w:sz="0" w:space="0" w:color="auto" w:frame="1"/>
        </w:rPr>
        <w:t>Cmdt</w:t>
      </w:r>
      <w:proofErr w:type="spellEnd"/>
      <w:r>
        <w:rPr>
          <w:rFonts w:ascii="Aptos" w:hAnsi="Aptos" w:cs="Calibri"/>
          <w:color w:val="242424"/>
          <w:sz w:val="22"/>
          <w:szCs w:val="22"/>
          <w:bdr w:val="none" w:sz="0" w:space="0" w:color="auto" w:frame="1"/>
        </w:rPr>
        <w:t xml:space="preserve"> de l’AC ainsi que le co-président </w:t>
      </w:r>
      <w:r>
        <w:rPr>
          <w:rFonts w:ascii="Aptos" w:hAnsi="Aptos" w:cs="Calibri"/>
          <w:color w:val="FF0000"/>
          <w:sz w:val="22"/>
          <w:szCs w:val="22"/>
          <w:bdr w:val="none" w:sz="0" w:space="0" w:color="auto" w:frame="1"/>
        </w:rPr>
        <w:t>syndical </w:t>
      </w:r>
      <w:r>
        <w:rPr>
          <w:rFonts w:ascii="Aptos" w:hAnsi="Aptos" w:cs="Calibri"/>
          <w:color w:val="242424"/>
          <w:sz w:val="22"/>
          <w:szCs w:val="22"/>
          <w:bdr w:val="none" w:sz="0" w:space="0" w:color="auto" w:frame="1"/>
        </w:rPr>
        <w:t>désigné </w:t>
      </w:r>
      <w:r>
        <w:rPr>
          <w:rFonts w:ascii="Aptos" w:hAnsi="Aptos" w:cs="Calibri"/>
          <w:strike/>
          <w:color w:val="242424"/>
          <w:sz w:val="22"/>
          <w:szCs w:val="22"/>
          <w:bdr w:val="none" w:sz="0" w:space="0" w:color="auto" w:frame="1"/>
        </w:rPr>
        <w:t>avant chacun des CCSP</w:t>
      </w:r>
      <w:r>
        <w:rPr>
          <w:rFonts w:ascii="Aptos" w:hAnsi="Aptos" w:cs="Calibri"/>
          <w:color w:val="242424"/>
          <w:sz w:val="22"/>
          <w:szCs w:val="22"/>
          <w:bdr w:val="none" w:sz="0" w:space="0" w:color="auto" w:frame="1"/>
        </w:rPr>
        <w:t>.</w:t>
      </w:r>
    </w:p>
    <w:p w14:paraId="171B56FF" w14:textId="77777777"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0C65627D" w14:textId="71615689"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b/>
          <w:bCs/>
          <w:color w:val="242424"/>
          <w:sz w:val="22"/>
          <w:szCs w:val="22"/>
          <w:bdr w:val="none" w:sz="0" w:space="0" w:color="auto" w:frame="1"/>
        </w:rPr>
        <w:t>Quorum</w:t>
      </w:r>
    </w:p>
    <w:p w14:paraId="2880164D" w14:textId="77777777" w:rsidR="00102C13" w:rsidRDefault="00102C13" w:rsidP="00102C13">
      <w:pPr>
        <w:pStyle w:val="xmsolistparagraph"/>
        <w:numPr>
          <w:ilvl w:val="0"/>
          <w:numId w:val="5"/>
        </w:numPr>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Le quorum est atteint </w:t>
      </w:r>
      <w:r>
        <w:rPr>
          <w:rFonts w:ascii="Aptos" w:hAnsi="Aptos" w:cs="Calibri"/>
          <w:color w:val="FF0000"/>
          <w:sz w:val="22"/>
          <w:szCs w:val="22"/>
          <w:bdr w:val="none" w:sz="0" w:space="0" w:color="auto" w:frame="1"/>
        </w:rPr>
        <w:t>lorsque la majorité des employés est représentée par les syndicats ou lorsque la participation d'un agent négociateur en particulier est nécessaire ou encore si une question se rapporte particulièrement aux membres représentés par un agent négociateur. </w:t>
      </w:r>
      <w:r>
        <w:rPr>
          <w:rFonts w:ascii="Aptos" w:hAnsi="Aptos" w:cs="Calibri"/>
          <w:color w:val="242424"/>
          <w:sz w:val="22"/>
          <w:szCs w:val="22"/>
          <w:bdr w:val="none" w:sz="0" w:space="0" w:color="auto" w:frame="1"/>
        </w:rPr>
        <w:t> </w:t>
      </w:r>
      <w:proofErr w:type="gramStart"/>
      <w:r>
        <w:rPr>
          <w:rFonts w:ascii="Aptos" w:hAnsi="Aptos" w:cs="Calibri"/>
          <w:strike/>
          <w:color w:val="242424"/>
          <w:sz w:val="22"/>
          <w:szCs w:val="22"/>
          <w:bdr w:val="none" w:sz="0" w:space="0" w:color="auto" w:frame="1"/>
        </w:rPr>
        <w:t>lorsqu’il</w:t>
      </w:r>
      <w:proofErr w:type="gramEnd"/>
      <w:r>
        <w:rPr>
          <w:rFonts w:ascii="Aptos" w:hAnsi="Aptos" w:cs="Calibri"/>
          <w:strike/>
          <w:color w:val="242424"/>
          <w:sz w:val="22"/>
          <w:szCs w:val="22"/>
          <w:bdr w:val="none" w:sz="0" w:space="0" w:color="auto" w:frame="1"/>
        </w:rPr>
        <w:t xml:space="preserve"> y aura une participation au moins 2 des 4 syndicats de présents au </w:t>
      </w:r>
      <w:proofErr w:type="gramStart"/>
      <w:r>
        <w:rPr>
          <w:rFonts w:ascii="Aptos" w:hAnsi="Aptos" w:cs="Calibri"/>
          <w:strike/>
          <w:color w:val="242424"/>
          <w:sz w:val="22"/>
          <w:szCs w:val="22"/>
          <w:bdr w:val="none" w:sz="0" w:space="0" w:color="auto" w:frame="1"/>
        </w:rPr>
        <w:t>CCSP</w:t>
      </w:r>
      <w:r>
        <w:rPr>
          <w:rFonts w:ascii="Aptos" w:hAnsi="Aptos" w:cs="Calibri"/>
          <w:color w:val="242424"/>
          <w:sz w:val="22"/>
          <w:szCs w:val="22"/>
          <w:bdr w:val="none" w:sz="0" w:space="0" w:color="auto" w:frame="1"/>
        </w:rPr>
        <w:t> .</w:t>
      </w:r>
      <w:proofErr w:type="gramEnd"/>
      <w:r>
        <w:rPr>
          <w:rFonts w:ascii="Aptos" w:hAnsi="Aptos" w:cs="Calibri"/>
          <w:color w:val="242424"/>
          <w:sz w:val="22"/>
          <w:szCs w:val="22"/>
          <w:bdr w:val="none" w:sz="0" w:space="0" w:color="auto" w:frame="1"/>
        </w:rPr>
        <w:t xml:space="preserve"> En absence de quorum, le CCSP sera annulé</w:t>
      </w:r>
      <w:r>
        <w:rPr>
          <w:rFonts w:ascii="Aptos" w:hAnsi="Aptos" w:cs="Calibri"/>
          <w:strike/>
          <w:color w:val="242424"/>
          <w:sz w:val="22"/>
          <w:szCs w:val="22"/>
          <w:bdr w:val="none" w:sz="0" w:space="0" w:color="auto" w:frame="1"/>
        </w:rPr>
        <w:t>e</w:t>
      </w:r>
      <w:r>
        <w:rPr>
          <w:rFonts w:ascii="Aptos" w:hAnsi="Aptos" w:cs="Calibri"/>
          <w:color w:val="242424"/>
          <w:sz w:val="22"/>
          <w:szCs w:val="22"/>
          <w:bdr w:val="none" w:sz="0" w:space="0" w:color="auto" w:frame="1"/>
        </w:rPr>
        <w:t> et sera reporté</w:t>
      </w:r>
      <w:r>
        <w:rPr>
          <w:rFonts w:ascii="Aptos" w:hAnsi="Aptos" w:cs="Calibri"/>
          <w:strike/>
          <w:color w:val="242424"/>
          <w:sz w:val="22"/>
          <w:szCs w:val="22"/>
          <w:bdr w:val="none" w:sz="0" w:space="0" w:color="auto" w:frame="1"/>
        </w:rPr>
        <w:t>e</w:t>
      </w:r>
      <w:r>
        <w:rPr>
          <w:rFonts w:ascii="Aptos" w:hAnsi="Aptos" w:cs="Calibri"/>
          <w:color w:val="242424"/>
          <w:sz w:val="22"/>
          <w:szCs w:val="22"/>
          <w:bdr w:val="none" w:sz="0" w:space="0" w:color="auto" w:frame="1"/>
        </w:rPr>
        <w:t> à l’autre segment semi-annuel tel que prévu au para 5 de ce document, jusqu’à ce qu’il y ait quorum.</w:t>
      </w:r>
    </w:p>
    <w:p w14:paraId="54E446FD" w14:textId="77777777"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6D13D454" w14:textId="5270D9E5"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b/>
          <w:bCs/>
          <w:color w:val="242424"/>
          <w:sz w:val="22"/>
          <w:szCs w:val="22"/>
          <w:bdr w:val="none" w:sz="0" w:space="0" w:color="auto" w:frame="1"/>
        </w:rPr>
        <w:t>Immunité :</w:t>
      </w:r>
    </w:p>
    <w:p w14:paraId="2CC57C13" w14:textId="77777777" w:rsidR="00102C13" w:rsidRDefault="00102C13" w:rsidP="00102C13">
      <w:pPr>
        <w:pStyle w:val="xmsolistparagraph"/>
        <w:numPr>
          <w:ilvl w:val="0"/>
          <w:numId w:val="6"/>
        </w:numPr>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Les membres du comité doivent être libres de s'acquitter de leurs fonctions sans crainte de représailles ou sans crainte que leurs relations au sein du ministère soient affectées par des mesures prises de bonne foi en tant que membre du comité. </w:t>
      </w:r>
      <w:r>
        <w:rPr>
          <w:rFonts w:ascii="Aptos" w:hAnsi="Aptos" w:cs="Calibri"/>
          <w:color w:val="FF0000"/>
          <w:sz w:val="22"/>
          <w:szCs w:val="22"/>
          <w:bdr w:val="none" w:sz="0" w:space="0" w:color="auto" w:frame="1"/>
        </w:rPr>
        <w:t xml:space="preserve">Ainsi, pour garantir que tous les syndicats aient une égalité de chances de s'engager avec le </w:t>
      </w:r>
      <w:proofErr w:type="spellStart"/>
      <w:r>
        <w:rPr>
          <w:rFonts w:ascii="Aptos" w:hAnsi="Aptos" w:cs="Calibri"/>
          <w:color w:val="FF0000"/>
          <w:sz w:val="22"/>
          <w:szCs w:val="22"/>
          <w:bdr w:val="none" w:sz="0" w:space="0" w:color="auto" w:frame="1"/>
        </w:rPr>
        <w:t>Cmdt</w:t>
      </w:r>
      <w:proofErr w:type="spellEnd"/>
      <w:r>
        <w:rPr>
          <w:rFonts w:ascii="Aptos" w:hAnsi="Aptos" w:cs="Calibri"/>
          <w:color w:val="FF0000"/>
          <w:sz w:val="22"/>
          <w:szCs w:val="22"/>
          <w:bdr w:val="none" w:sz="0" w:space="0" w:color="auto" w:frame="1"/>
        </w:rPr>
        <w:t xml:space="preserve"> AC et le comité, les représentants des différents syndicaux ont accès à une communication ouverte en tout temps avec le </w:t>
      </w:r>
      <w:proofErr w:type="spellStart"/>
      <w:r>
        <w:rPr>
          <w:rFonts w:ascii="Aptos" w:hAnsi="Aptos" w:cs="Calibri"/>
          <w:color w:val="FF0000"/>
          <w:sz w:val="22"/>
          <w:szCs w:val="22"/>
          <w:bdr w:val="none" w:sz="0" w:space="0" w:color="auto" w:frame="1"/>
        </w:rPr>
        <w:t>Cmdt</w:t>
      </w:r>
      <w:proofErr w:type="spellEnd"/>
      <w:r>
        <w:rPr>
          <w:rFonts w:ascii="Aptos" w:hAnsi="Aptos" w:cs="Calibri"/>
          <w:color w:val="FF0000"/>
          <w:sz w:val="22"/>
          <w:szCs w:val="22"/>
          <w:bdr w:val="none" w:sz="0" w:space="0" w:color="auto" w:frame="1"/>
        </w:rPr>
        <w:t xml:space="preserve"> AC pour des enjeux qui touchent uniquement leurs membres.</w:t>
      </w:r>
    </w:p>
    <w:p w14:paraId="2F35AB90" w14:textId="77777777"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5431B20B" w14:textId="611A625F"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b/>
          <w:bCs/>
          <w:color w:val="FF0000"/>
          <w:sz w:val="22"/>
          <w:szCs w:val="22"/>
          <w:bdr w:val="none" w:sz="0" w:space="0" w:color="auto" w:frame="1"/>
        </w:rPr>
        <w:t>Terme du mandat</w:t>
      </w:r>
    </w:p>
    <w:p w14:paraId="31B87C66" w14:textId="53CD2AAA" w:rsidR="00786E8B" w:rsidRDefault="00102C13" w:rsidP="00786E8B">
      <w:pPr>
        <w:pStyle w:val="xmsonormal"/>
        <w:shd w:val="clear" w:color="auto" w:fill="FFFFFF"/>
        <w:spacing w:before="0" w:beforeAutospacing="0" w:after="0" w:afterAutospacing="0"/>
        <w:ind w:left="360"/>
        <w:rPr>
          <w:rFonts w:ascii="Aptos" w:hAnsi="Aptos" w:cs="Calibri"/>
          <w:color w:val="FF0000"/>
          <w:sz w:val="22"/>
          <w:szCs w:val="22"/>
          <w:bdr w:val="none" w:sz="0" w:space="0" w:color="auto" w:frame="1"/>
        </w:rPr>
      </w:pPr>
      <w:r>
        <w:rPr>
          <w:rFonts w:ascii="Aptos" w:hAnsi="Aptos" w:cs="Calibri"/>
          <w:color w:val="FF0000"/>
          <w:sz w:val="22"/>
          <w:szCs w:val="22"/>
          <w:bdr w:val="none" w:sz="0" w:space="0" w:color="auto" w:frame="1"/>
        </w:rPr>
        <w:t>13.Le mandat reste en vigueur jusqu’au départ de l’un ou l’autre des co-présidents.</w:t>
      </w:r>
    </w:p>
    <w:p w14:paraId="5EEDA5FF" w14:textId="77777777" w:rsidR="00786E8B" w:rsidRDefault="00786E8B" w:rsidP="00102C13">
      <w:pPr>
        <w:pStyle w:val="xmsonormal"/>
        <w:shd w:val="clear" w:color="auto" w:fill="FFFFFF"/>
        <w:spacing w:before="0" w:beforeAutospacing="0" w:after="0" w:afterAutospacing="0"/>
        <w:ind w:left="360"/>
        <w:rPr>
          <w:rFonts w:ascii="Calibri" w:hAnsi="Calibri" w:cs="Calibri"/>
          <w:color w:val="242424"/>
          <w:sz w:val="22"/>
          <w:szCs w:val="22"/>
        </w:rPr>
      </w:pPr>
    </w:p>
    <w:p w14:paraId="3ED506EB" w14:textId="19725FAD" w:rsidR="00786E8B" w:rsidRPr="00786E8B" w:rsidRDefault="00102C13" w:rsidP="00786E8B">
      <w:pPr>
        <w:pStyle w:val="Paragraphedeliste"/>
        <w:numPr>
          <w:ilvl w:val="0"/>
          <w:numId w:val="8"/>
        </w:numPr>
        <w:rPr>
          <w:u w:val="single"/>
        </w:rPr>
      </w:pPr>
      <w:r>
        <w:t>Le prochain CCSP est prévu pour le 28 mai 2025.</w:t>
      </w:r>
    </w:p>
    <w:p w14:paraId="5893F60E" w14:textId="0871B611" w:rsidR="00786E8B" w:rsidRPr="00786E8B" w:rsidRDefault="00786E8B" w:rsidP="00786E8B">
      <w:pPr>
        <w:rPr>
          <w:u w:val="single"/>
        </w:rPr>
      </w:pPr>
      <w:r>
        <w:rPr>
          <w:noProof/>
          <w:u w:val="single"/>
          <w14:ligatures w14:val="standardContextual"/>
        </w:rPr>
        <mc:AlternateContent>
          <mc:Choice Requires="wps">
            <w:drawing>
              <wp:anchor distT="0" distB="0" distL="114300" distR="114300" simplePos="0" relativeHeight="251660288"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16B4C29D" w:rsidR="00786E8B" w:rsidRPr="006007B3" w:rsidRDefault="00786E8B" w:rsidP="006007B3">
      <w:pPr>
        <w:pStyle w:val="Paragraphedeliste"/>
        <w:ind w:left="0"/>
        <w:rPr>
          <w:rFonts w:ascii="Segoe Script" w:hAnsi="Segoe Script"/>
        </w:rPr>
      </w:pPr>
      <w:r>
        <w:rPr>
          <w:rFonts w:asciiTheme="majorHAnsi" w:hAnsiTheme="majorHAnsi" w:cstheme="majorHAnsi"/>
        </w:rPr>
        <w:t xml:space="preserve">Respectueusement soumis,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5"/>
  </w:num>
  <w:num w:numId="2" w16cid:durableId="1409379863">
    <w:abstractNumId w:val="2"/>
  </w:num>
  <w:num w:numId="3" w16cid:durableId="1678269177">
    <w:abstractNumId w:val="6"/>
  </w:num>
  <w:num w:numId="4" w16cid:durableId="1905330432">
    <w:abstractNumId w:val="4"/>
  </w:num>
  <w:num w:numId="5" w16cid:durableId="384178449">
    <w:abstractNumId w:val="1"/>
  </w:num>
  <w:num w:numId="6" w16cid:durableId="98258473">
    <w:abstractNumId w:val="3"/>
  </w:num>
  <w:num w:numId="7" w16cid:durableId="1608778781">
    <w:abstractNumId w:val="7"/>
  </w:num>
  <w:num w:numId="8" w16cid:durableId="147436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85DE4"/>
    <w:rsid w:val="00102C13"/>
    <w:rsid w:val="00163C88"/>
    <w:rsid w:val="00355E0F"/>
    <w:rsid w:val="003C29EC"/>
    <w:rsid w:val="006007B3"/>
    <w:rsid w:val="006A13E9"/>
    <w:rsid w:val="00786E8B"/>
    <w:rsid w:val="00854498"/>
    <w:rsid w:val="009929C8"/>
    <w:rsid w:val="00B85DA7"/>
    <w:rsid w:val="00CD5168"/>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Titre1">
    <w:name w:val="heading 1"/>
    <w:basedOn w:val="Normal"/>
    <w:next w:val="Normal"/>
    <w:link w:val="Titre1Car"/>
    <w:uiPriority w:val="8"/>
    <w:qFormat/>
    <w:rsid w:val="009929C8"/>
    <w:pPr>
      <w:spacing w:before="840" w:after="40"/>
      <w:outlineLvl w:val="0"/>
    </w:pPr>
    <w:rPr>
      <w:rFonts w:asciiTheme="majorHAnsi" w:hAnsiTheme="majorHAnsi"/>
      <w:b/>
      <w:bCs/>
      <w:color w:val="44546A" w:themeColor="text2"/>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re">
    <w:name w:val="Title"/>
    <w:basedOn w:val="Normal"/>
    <w:next w:val="Normal"/>
    <w:link w:val="TitreC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reCar">
    <w:name w:val="Titre Car"/>
    <w:basedOn w:val="Policepardfaut"/>
    <w:link w:val="Titr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Paragraphedeliste">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DF6330-6213-4DF1-AF9A-BD04F0A6594C}"/>
</file>

<file path=customXml/itemProps2.xml><?xml version="1.0" encoding="utf-8"?>
<ds:datastoreItem xmlns:ds="http://schemas.openxmlformats.org/officeDocument/2006/customXml" ds:itemID="{2197492F-FDD8-43AE-BD79-4057FFAE0798}"/>
</file>

<file path=customXml/itemProps3.xml><?xml version="1.0" encoding="utf-8"?>
<ds:datastoreItem xmlns:ds="http://schemas.openxmlformats.org/officeDocument/2006/customXml" ds:itemID="{04BE0A2D-3A19-404A-B736-0775083CA47C}"/>
</file>

<file path=docProps/app.xml><?xml version="1.0" encoding="utf-8"?>
<Properties xmlns="http://schemas.openxmlformats.org/officeDocument/2006/extended-properties" xmlns:vt="http://schemas.openxmlformats.org/officeDocument/2006/docPropsVTypes">
  <Template>Normal</Template>
  <TotalTime>18</TotalTime>
  <Pages>2</Pages>
  <Words>596</Words>
  <Characters>3278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10507@unde.org</cp:lastModifiedBy>
  <cp:revision>6</cp:revision>
  <dcterms:created xsi:type="dcterms:W3CDTF">2025-04-22T22:48:00Z</dcterms:created>
  <dcterms:modified xsi:type="dcterms:W3CDTF">2025-04-22T22:59:00Z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