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E2237" w14:textId="57AA4C62" w:rsidR="00245D26" w:rsidRPr="00245D26" w:rsidRDefault="00245D26" w:rsidP="00245D26">
      <w:pPr>
        <w:pStyle w:val="NormalWeb"/>
        <w:spacing w:before="0" w:beforeAutospacing="0" w:after="0" w:afterAutospacing="0"/>
        <w:jc w:val="center"/>
        <w:rPr>
          <w:lang w:val="fr-CA"/>
        </w:rPr>
      </w:pPr>
      <w:r>
        <w:rPr>
          <w:b/>
          <w:bCs/>
          <w:lang w:val="fr-CA"/>
        </w:rPr>
        <w:t>AVIATION ROYALE CANADIENNE (ARC)</w:t>
      </w:r>
      <w:r w:rsidRPr="00245D26">
        <w:rPr>
          <w:b/>
          <w:bCs/>
          <w:lang w:val="fr-CA"/>
        </w:rPr>
        <w:t xml:space="preserve"> L2</w:t>
      </w:r>
    </w:p>
    <w:p w14:paraId="7B6393AF" w14:textId="797FA936" w:rsidR="00245D26" w:rsidRPr="00245D26" w:rsidRDefault="00245D26" w:rsidP="00245D26">
      <w:pPr>
        <w:pStyle w:val="NormalWeb"/>
        <w:spacing w:before="0" w:beforeAutospacing="0" w:after="0" w:afterAutospacing="0"/>
        <w:jc w:val="center"/>
        <w:rPr>
          <w:lang w:val="fr-CA"/>
        </w:rPr>
      </w:pPr>
      <w:r w:rsidRPr="00245D26">
        <w:rPr>
          <w:b/>
          <w:bCs/>
          <w:lang w:val="fr-CA"/>
        </w:rPr>
        <w:t>COMITÉ DE CONSULTATION SYNDICAT-</w:t>
      </w:r>
      <w:r>
        <w:rPr>
          <w:b/>
          <w:bCs/>
          <w:lang w:val="fr-CA"/>
        </w:rPr>
        <w:t>PATRONALE</w:t>
      </w:r>
    </w:p>
    <w:p w14:paraId="36259C82" w14:textId="67A1D79E" w:rsidR="00245D26" w:rsidRPr="00245D26" w:rsidRDefault="00245D26" w:rsidP="00245D26">
      <w:pPr>
        <w:pStyle w:val="NormalWeb"/>
        <w:spacing w:before="0" w:beforeAutospacing="0" w:after="0" w:afterAutospacing="0"/>
        <w:jc w:val="center"/>
        <w:rPr>
          <w:lang w:val="fr-CA"/>
        </w:rPr>
      </w:pPr>
      <w:r w:rsidRPr="00245D26">
        <w:rPr>
          <w:b/>
          <w:bCs/>
          <w:lang w:val="fr-CA"/>
        </w:rPr>
        <w:t xml:space="preserve">Rapport </w:t>
      </w:r>
      <w:r>
        <w:rPr>
          <w:b/>
          <w:bCs/>
          <w:lang w:val="fr-CA"/>
        </w:rPr>
        <w:t>pour</w:t>
      </w:r>
      <w:r w:rsidRPr="00245D26">
        <w:rPr>
          <w:b/>
          <w:bCs/>
          <w:lang w:val="fr-CA"/>
        </w:rPr>
        <w:t xml:space="preserve"> la réunion </w:t>
      </w:r>
      <w:r>
        <w:rPr>
          <w:b/>
          <w:bCs/>
          <w:lang w:val="fr-CA"/>
        </w:rPr>
        <w:t>CE</w:t>
      </w:r>
      <w:r w:rsidRPr="00245D26">
        <w:rPr>
          <w:b/>
          <w:bCs/>
          <w:lang w:val="fr-CA"/>
        </w:rPr>
        <w:t xml:space="preserve"> de décembre 2025</w:t>
      </w:r>
    </w:p>
    <w:p w14:paraId="1D525368" w14:textId="77777777" w:rsidR="00C80020" w:rsidRPr="00245D26" w:rsidRDefault="00C80020" w:rsidP="00245D26">
      <w:pPr>
        <w:pStyle w:val="NoSpacing"/>
        <w:jc w:val="center"/>
        <w:rPr>
          <w:rFonts w:cstheme="minorHAnsi"/>
          <w:b/>
          <w:bCs/>
          <w:lang w:val="fr-CA"/>
        </w:rPr>
      </w:pPr>
    </w:p>
    <w:p w14:paraId="1274BF98" w14:textId="795CF623"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sz w:val="22"/>
          <w:szCs w:val="22"/>
          <w:lang w:val="fr-CA"/>
        </w:rPr>
        <w:t xml:space="preserve">La dernière réunion </w:t>
      </w:r>
      <w:r w:rsidR="001D616A">
        <w:rPr>
          <w:rFonts w:asciiTheme="minorHAnsi" w:hAnsiTheme="minorHAnsi" w:cstheme="minorHAnsi"/>
          <w:sz w:val="22"/>
          <w:szCs w:val="22"/>
          <w:lang w:val="fr-CA"/>
        </w:rPr>
        <w:t>N</w:t>
      </w:r>
      <w:r w:rsidRPr="00245D26">
        <w:rPr>
          <w:rFonts w:asciiTheme="minorHAnsi" w:hAnsiTheme="minorHAnsi" w:cstheme="minorHAnsi"/>
          <w:sz w:val="22"/>
          <w:szCs w:val="22"/>
          <w:lang w:val="fr-CA"/>
        </w:rPr>
        <w:t xml:space="preserve">2 de la </w:t>
      </w:r>
      <w:r w:rsidR="001D616A">
        <w:rPr>
          <w:rFonts w:asciiTheme="minorHAnsi" w:hAnsiTheme="minorHAnsi" w:cstheme="minorHAnsi"/>
          <w:sz w:val="22"/>
          <w:szCs w:val="22"/>
          <w:lang w:val="fr-CA"/>
        </w:rPr>
        <w:t>ARC</w:t>
      </w:r>
      <w:r w:rsidRPr="00245D26">
        <w:rPr>
          <w:rFonts w:asciiTheme="minorHAnsi" w:hAnsiTheme="minorHAnsi" w:cstheme="minorHAnsi"/>
          <w:sz w:val="22"/>
          <w:szCs w:val="22"/>
          <w:lang w:val="fr-CA"/>
        </w:rPr>
        <w:t xml:space="preserve"> s'est tenue le 14 octobre 25.</w:t>
      </w:r>
    </w:p>
    <w:p w14:paraId="23E6E3B1" w14:textId="77777777"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b/>
          <w:bCs/>
          <w:sz w:val="22"/>
          <w:szCs w:val="22"/>
          <w:lang w:val="fr-CA"/>
        </w:rPr>
        <w:t>Commandant de la CAD, le major-général McKenna, commandant adjoint, le brigadier-général Walker, coprésident, directeur A1, le colonel Netta</w:t>
      </w:r>
    </w:p>
    <w:p w14:paraId="6BB9BCFD" w14:textId="77777777"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sz w:val="22"/>
          <w:szCs w:val="22"/>
          <w:lang w:val="fr-CA"/>
        </w:rPr>
        <w:t>- 1re Escadre Kingston, 2e Escadre Bagotville, 3e Escadre Bagotville, 4e Escadre Cold Lake, 5e Escadre Goose Bay, 8e Escadre Trenton, 9e Escadre Gander, 12e Escadre Shearwater, 14e Escadre Greenwood, 19e Escadre Commox, 22e Escadre North Bay, ATESS - Soutien technique en aérospatiale et en télécommunications</w:t>
      </w:r>
    </w:p>
    <w:p w14:paraId="4F941EE2" w14:textId="6C3640A0"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b/>
          <w:bCs/>
          <w:sz w:val="22"/>
          <w:szCs w:val="22"/>
          <w:lang w:val="fr-CA"/>
        </w:rPr>
        <w:t xml:space="preserve">2 </w:t>
      </w:r>
      <w:r w:rsidR="001D616A">
        <w:rPr>
          <w:rFonts w:asciiTheme="minorHAnsi" w:hAnsiTheme="minorHAnsi" w:cstheme="minorHAnsi"/>
          <w:b/>
          <w:bCs/>
          <w:sz w:val="22"/>
          <w:szCs w:val="22"/>
          <w:lang w:val="fr-CA"/>
        </w:rPr>
        <w:t xml:space="preserve">DAC </w:t>
      </w:r>
      <w:r w:rsidRPr="00245D26">
        <w:rPr>
          <w:rFonts w:asciiTheme="minorHAnsi" w:hAnsiTheme="minorHAnsi" w:cstheme="minorHAnsi"/>
          <w:b/>
          <w:bCs/>
          <w:sz w:val="22"/>
          <w:szCs w:val="22"/>
          <w:lang w:val="fr-CA"/>
        </w:rPr>
        <w:t>Comd BGen Coutts, COS Col Proteau, DCOS LCol Nicholauson.</w:t>
      </w:r>
    </w:p>
    <w:p w14:paraId="0071B061" w14:textId="77777777"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sz w:val="22"/>
          <w:szCs w:val="22"/>
          <w:lang w:val="fr-CA"/>
        </w:rPr>
        <w:t>-15e Escadre Moose Jaw (2e CFFTS, 3e CFFTS, 431e Escadron), 16e Escadre Borden (CFSATE, CFSACO, RCAF A), 17e Escadre Winnipeg (CFSSAT, Barker College, 402e Escadron, RCAF Band, Det Dundurn), 2e QG DAC (CFASC)</w:t>
      </w:r>
    </w:p>
    <w:p w14:paraId="24881869" w14:textId="77777777"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b/>
          <w:bCs/>
          <w:sz w:val="22"/>
          <w:szCs w:val="22"/>
          <w:lang w:val="fr-CA"/>
        </w:rPr>
        <w:t>Commandant de la 3e Division spatiale canadienne - Bgén Christopher Horner</w:t>
      </w:r>
    </w:p>
    <w:p w14:paraId="141D3D34" w14:textId="77777777"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sz w:val="22"/>
          <w:szCs w:val="22"/>
          <w:lang w:val="fr-CA"/>
        </w:rPr>
        <w:t>- 7e Escadre, 3e QG de la DSC</w:t>
      </w:r>
    </w:p>
    <w:p w14:paraId="660A4D8C" w14:textId="77777777"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 xml:space="preserve">Programme Future Fighter – </w:t>
      </w:r>
      <w:r w:rsidRPr="00245D26">
        <w:rPr>
          <w:rFonts w:asciiTheme="minorHAnsi" w:hAnsiTheme="minorHAnsi" w:cstheme="minorHAnsi"/>
          <w:sz w:val="22"/>
          <w:szCs w:val="22"/>
          <w:lang w:val="fr-CA"/>
        </w:rPr>
        <w:t>Le projet Future Fighter avance à toute vitesse. Des postes AS04 et AS06 sont ajoutés aux 3e et 4e escadrons, ainsi que des postes supplémentaires tels que ceux de coordonnateurs d'infrastructure, d'instructeurs sur simulateur, d'opérations et de soutien à la maintenance.</w:t>
      </w:r>
    </w:p>
    <w:p w14:paraId="344DEB99" w14:textId="386E1AFC"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Programme de formation des futurs équipages aériens (FAcT)</w:t>
      </w:r>
      <w:r w:rsidRPr="00245D26">
        <w:rPr>
          <w:rFonts w:asciiTheme="minorHAnsi" w:hAnsiTheme="minorHAnsi" w:cstheme="minorHAnsi"/>
          <w:sz w:val="22"/>
          <w:szCs w:val="22"/>
          <w:lang w:val="fr-CA"/>
        </w:rPr>
        <w:t xml:space="preserve"> – L'UEDN a déclaré qu'aucune réunion de niveau 2 n'avait eu lieu pour discuter du projet. Le Lcol Nicholauson a indiqué que les meilleurs interlocuteurs pour cette discussion étaient les DAST, car ils ont les responsabilités et les pouvoirs nécessaires dans le cadre du programme. Le Lcol Nicholauson communiquera avec le DGASRAR pour s'assurer que l'UEDN et un représentant des DAST puissent avoir la discussion souhaitée. L'UEDN continue de plaider en faveur du passage de postes contractuels à des postes de la fonction publique à Moose Jaw, car le SMA(IE) gère davantage de bâtiments dans le cadre du programme. Le Lcol Nicholauson a demandé comment les préoccupations du syndicat sont intégrées dans le bureau du programme FAcT au niveau L1, étant donné que le FACT n'est pas encore opérationnel. Nous avons répondu que les discussions au sein du RCAF L1 UMCC visent à recueillir des informations, à comprendre les processus et à défendre les intérêts des membres de la fonction publique. L'UEDN s'inquiète du fait que certaines fonctions, en particulier dans le domaine de la gestion et de l'entretien des installations, sont sous-traitées plutôt que d'être confiées à des employés de la fonction publique. Le LCol Nicholauson a convenu qu'il était logique de défendre cette cause au niveau L1 en raison de la participation limitée du </w:t>
      </w:r>
      <w:r w:rsidR="001D616A">
        <w:rPr>
          <w:rFonts w:asciiTheme="minorHAnsi" w:hAnsiTheme="minorHAnsi" w:cstheme="minorHAnsi"/>
          <w:sz w:val="22"/>
          <w:szCs w:val="22"/>
          <w:lang w:val="fr-CA"/>
        </w:rPr>
        <w:t>N</w:t>
      </w:r>
      <w:r w:rsidRPr="00245D26">
        <w:rPr>
          <w:rFonts w:asciiTheme="minorHAnsi" w:hAnsiTheme="minorHAnsi" w:cstheme="minorHAnsi"/>
          <w:sz w:val="22"/>
          <w:szCs w:val="22"/>
          <w:lang w:val="fr-CA"/>
        </w:rPr>
        <w:t>2 au programme FAcT.</w:t>
      </w:r>
    </w:p>
    <w:p w14:paraId="2C20917C" w14:textId="54216401" w:rsid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 xml:space="preserve">Pompiers – </w:t>
      </w:r>
      <w:r w:rsidRPr="00245D26">
        <w:rPr>
          <w:rFonts w:asciiTheme="minorHAnsi" w:hAnsiTheme="minorHAnsi" w:cstheme="minorHAnsi"/>
          <w:sz w:val="22"/>
          <w:szCs w:val="22"/>
          <w:lang w:val="fr-CA"/>
        </w:rPr>
        <w:t>Dundurn est la seule escadre qui compte des pompiers de la fonction publique. Les affectations des pompiers et des SWE restent à l'ordre du jour, car le MDN continue de ne pas se conformer aux affectations de taille d'équipe spécifiées par le C</w:t>
      </w:r>
      <w:r w:rsidR="001D616A">
        <w:rPr>
          <w:rFonts w:asciiTheme="minorHAnsi" w:hAnsiTheme="minorHAnsi" w:cstheme="minorHAnsi"/>
          <w:sz w:val="22"/>
          <w:szCs w:val="22"/>
          <w:lang w:val="fr-CA"/>
        </w:rPr>
        <w:t>IFC</w:t>
      </w:r>
      <w:r w:rsidRPr="00245D26">
        <w:rPr>
          <w:rFonts w:asciiTheme="minorHAnsi" w:hAnsiTheme="minorHAnsi" w:cstheme="minorHAnsi"/>
          <w:sz w:val="22"/>
          <w:szCs w:val="22"/>
          <w:lang w:val="fr-CA"/>
        </w:rPr>
        <w:t xml:space="preserve">. La charge de travail est compensée par des heures supplémentaires. La direction a noté que l'évaluation des risques d'incendie de 2018 du CFFM pour la 17e Escadre Det Dundurn reste la plus récente. L'évaluation du niveau de risque de 2021 n'a pas été effectuée par le CFFM, de sorte que le niveau de risque reste élevé. Quatre postes de pompier FR01 figurent dans la demande du 2 </w:t>
      </w:r>
      <w:r w:rsidR="001D616A">
        <w:rPr>
          <w:rFonts w:asciiTheme="minorHAnsi" w:hAnsiTheme="minorHAnsi" w:cstheme="minorHAnsi"/>
          <w:sz w:val="22"/>
          <w:szCs w:val="22"/>
          <w:lang w:val="fr-CA"/>
        </w:rPr>
        <w:t>DAC</w:t>
      </w:r>
      <w:r w:rsidRPr="00245D26">
        <w:rPr>
          <w:rFonts w:asciiTheme="minorHAnsi" w:hAnsiTheme="minorHAnsi" w:cstheme="minorHAnsi"/>
          <w:sz w:val="22"/>
          <w:szCs w:val="22"/>
          <w:lang w:val="fr-CA"/>
        </w:rPr>
        <w:t xml:space="preserve"> DTEP depuis 2020, mais ils n'ont toujours pas été approuvés, bien que le poste d'inspecteur en chef des incendies ait été pourvu et que 500 000 dollars aient été financés par le 2 </w:t>
      </w:r>
      <w:r w:rsidR="001D616A">
        <w:rPr>
          <w:rFonts w:asciiTheme="minorHAnsi" w:hAnsiTheme="minorHAnsi" w:cstheme="minorHAnsi"/>
          <w:sz w:val="22"/>
          <w:szCs w:val="22"/>
          <w:lang w:val="fr-CA"/>
        </w:rPr>
        <w:t>DAC</w:t>
      </w:r>
      <w:r w:rsidRPr="00245D26">
        <w:rPr>
          <w:rFonts w:asciiTheme="minorHAnsi" w:hAnsiTheme="minorHAnsi" w:cstheme="minorHAnsi"/>
          <w:sz w:val="22"/>
          <w:szCs w:val="22"/>
          <w:lang w:val="fr-CA"/>
        </w:rPr>
        <w:t xml:space="preserve"> pour maintenir la conformité avec la norme C</w:t>
      </w:r>
      <w:r w:rsidR="001D616A">
        <w:rPr>
          <w:rFonts w:asciiTheme="minorHAnsi" w:hAnsiTheme="minorHAnsi" w:cstheme="minorHAnsi"/>
          <w:sz w:val="22"/>
          <w:szCs w:val="22"/>
          <w:lang w:val="fr-CA"/>
        </w:rPr>
        <w:t>IFC</w:t>
      </w:r>
      <w:r w:rsidRPr="00245D26">
        <w:rPr>
          <w:rFonts w:asciiTheme="minorHAnsi" w:hAnsiTheme="minorHAnsi" w:cstheme="minorHAnsi"/>
          <w:sz w:val="22"/>
          <w:szCs w:val="22"/>
          <w:lang w:val="fr-CA"/>
        </w:rPr>
        <w:t xml:space="preserve">. La direction a déclaré qu'une demande DTEP pour des pompiers a été soumise afin de créer une quatrième équipe à Dundurn, bien que le soutien L0 soit toujours recherché. Le brigadier-général Walker a fait écho à ce point, déclarant que le commandement 1 </w:t>
      </w:r>
      <w:r w:rsidR="001D616A">
        <w:rPr>
          <w:rFonts w:asciiTheme="minorHAnsi" w:hAnsiTheme="minorHAnsi" w:cstheme="minorHAnsi"/>
          <w:sz w:val="22"/>
          <w:szCs w:val="22"/>
          <w:lang w:val="fr-CA"/>
        </w:rPr>
        <w:t xml:space="preserve">DAC </w:t>
      </w:r>
      <w:r w:rsidRPr="00245D26">
        <w:rPr>
          <w:rFonts w:asciiTheme="minorHAnsi" w:hAnsiTheme="minorHAnsi" w:cstheme="minorHAnsi"/>
          <w:sz w:val="22"/>
          <w:szCs w:val="22"/>
          <w:lang w:val="fr-CA"/>
        </w:rPr>
        <w:t>en avait fait une priorité pour l'année en cours afin de permettre de s'affranchir de la dépendance aux heures supplémentaires. La direction fournira à Mme Simcoe les quatre postes FR01 soumis via le DTEP afin de l'aider dans le suivi et la défense de cette cause.</w:t>
      </w:r>
    </w:p>
    <w:p w14:paraId="6FE752BA" w14:textId="5CE2F55A"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 xml:space="preserve">Mise à jour et suivi de la conformité aux réunions du </w:t>
      </w:r>
      <w:r>
        <w:rPr>
          <w:rFonts w:asciiTheme="minorHAnsi" w:hAnsiTheme="minorHAnsi" w:cstheme="minorHAnsi"/>
          <w:b/>
          <w:bCs/>
          <w:sz w:val="22"/>
          <w:szCs w:val="22"/>
          <w:lang w:val="fr-CA"/>
        </w:rPr>
        <w:t>CCSP</w:t>
      </w:r>
      <w:r w:rsidRPr="00245D26">
        <w:rPr>
          <w:rFonts w:asciiTheme="minorHAnsi" w:hAnsiTheme="minorHAnsi" w:cstheme="minorHAnsi"/>
          <w:b/>
          <w:bCs/>
          <w:sz w:val="22"/>
          <w:szCs w:val="22"/>
          <w:lang w:val="fr-CA"/>
        </w:rPr>
        <w:t xml:space="preserve"> de niveau 3 - </w:t>
      </w:r>
      <w:r w:rsidRPr="00245D26">
        <w:rPr>
          <w:rFonts w:asciiTheme="minorHAnsi" w:hAnsiTheme="minorHAnsi" w:cstheme="minorHAnsi"/>
          <w:sz w:val="22"/>
          <w:szCs w:val="22"/>
          <w:lang w:val="fr-CA"/>
        </w:rPr>
        <w:t>La direction a indiqué que 1 CAD a engagé le dialogue avec les niveaux 3 au sujet de leurs réunions et rapports LMCC. Certains niveaux 3 ont fourni des rapports sporadiques. Les A1 continueront à dialoguer avec les niveaux 3 afin d'organiser des réunions LMCC au moins deux fois par an.</w:t>
      </w:r>
    </w:p>
    <w:p w14:paraId="185D942F" w14:textId="77777777"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 xml:space="preserve">Agent environnemental, sites contaminés et « droit de savoir » - </w:t>
      </w:r>
      <w:r w:rsidRPr="00245D26">
        <w:rPr>
          <w:rFonts w:asciiTheme="minorHAnsi" w:hAnsiTheme="minorHAnsi" w:cstheme="minorHAnsi"/>
          <w:sz w:val="22"/>
          <w:szCs w:val="22"/>
          <w:lang w:val="fr-CA"/>
        </w:rPr>
        <w:t>Le Lcol Nicholauson a déclaré que la 1re Escadre cherchait à créer un poste d'agent environnemental et à obtenir du financement par divers moyens. Avec la création du programme de formation des futurs équipages aériens, le bureau environnemental de la 1re DAC et la Direction de la simulation et de l'entraînement aériens (DAST) reconnaissent la nécessité d'un poste PC02 à temps plein. L'UEDN a fait le point sur la réunion de juin du comité de santé et de sécurité de Moose Jaw. Le comité a accepté la déclaration de la direction et le rapport qui l'accompagne, confirmant que le bâtiment 143 est un lieu de travail sûr. Tout le personnel de la 15e Escadre en a été informé.</w:t>
      </w:r>
    </w:p>
    <w:p w14:paraId="590A7DE7" w14:textId="6A71CB28"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Rapports sur les postes vacants</w:t>
      </w:r>
      <w:r w:rsidRPr="00245D26">
        <w:rPr>
          <w:rFonts w:asciiTheme="minorHAnsi" w:hAnsiTheme="minorHAnsi" w:cstheme="minorHAnsi"/>
          <w:sz w:val="22"/>
          <w:szCs w:val="22"/>
          <w:lang w:val="fr-CA"/>
        </w:rPr>
        <w:t xml:space="preserve"> – Le colonel Neta a déclaré que le travail continu entre les niveaux 2 et 3 améliore la gestion des postes vacants et la planification prévisionnelle. Des réunions trimestrielles/bimensuelles régulières, auxquelles participent des représentants des niveaux </w:t>
      </w:r>
      <w:r w:rsidR="001D616A">
        <w:rPr>
          <w:rFonts w:asciiTheme="minorHAnsi" w:hAnsiTheme="minorHAnsi" w:cstheme="minorHAnsi"/>
          <w:sz w:val="22"/>
          <w:szCs w:val="22"/>
          <w:lang w:val="fr-CA"/>
        </w:rPr>
        <w:t>N</w:t>
      </w:r>
      <w:r w:rsidRPr="00245D26">
        <w:rPr>
          <w:rFonts w:asciiTheme="minorHAnsi" w:hAnsiTheme="minorHAnsi" w:cstheme="minorHAnsi"/>
          <w:sz w:val="22"/>
          <w:szCs w:val="22"/>
          <w:lang w:val="fr-CA"/>
        </w:rPr>
        <w:t xml:space="preserve">2, </w:t>
      </w:r>
      <w:r w:rsidR="001D616A">
        <w:rPr>
          <w:rFonts w:asciiTheme="minorHAnsi" w:hAnsiTheme="minorHAnsi" w:cstheme="minorHAnsi"/>
          <w:sz w:val="22"/>
          <w:szCs w:val="22"/>
          <w:lang w:val="fr-CA"/>
        </w:rPr>
        <w:t>N</w:t>
      </w:r>
      <w:r w:rsidRPr="00245D26">
        <w:rPr>
          <w:rFonts w:asciiTheme="minorHAnsi" w:hAnsiTheme="minorHAnsi" w:cstheme="minorHAnsi"/>
          <w:sz w:val="22"/>
          <w:szCs w:val="22"/>
          <w:lang w:val="fr-CA"/>
        </w:rPr>
        <w:t>1 et RH-Civ, sont organisées pour traiter les problèmes et faciliter le suivi des postes et des mesures de dotation. La direction a ajouté que la 2e DAC a également revitalisé les processus et surveille les postes grâce au rapport sur les postes vacants. Le colonel Neta a fait remarquer que la nouvelle approche de dotation en ressources humaines est axée sur la planification de la relève. Il a expliqué que, au sein de l'ARC, les embauches externes sont limitées, car la composante RH-Civ est en grande partie gérée en interne. 1 et 2 CAD doivent inclure leur rapport actuel sur les postes vacants dans le procès-verbal.</w:t>
      </w:r>
    </w:p>
    <w:p w14:paraId="028CF4EB" w14:textId="4FA6CE2C" w:rsidR="00245D26" w:rsidRDefault="00245D26" w:rsidP="00245D26">
      <w:pPr>
        <w:pStyle w:val="NormalWeb"/>
        <w:rPr>
          <w:rFonts w:asciiTheme="minorHAnsi" w:hAnsiTheme="minorHAnsi" w:cstheme="minorHAnsi"/>
          <w:sz w:val="22"/>
          <w:szCs w:val="22"/>
          <w:lang w:val="fr-CA"/>
        </w:rPr>
      </w:pPr>
      <w:r>
        <w:rPr>
          <w:rFonts w:asciiTheme="minorHAnsi" w:hAnsiTheme="minorHAnsi" w:cstheme="minorHAnsi"/>
          <w:b/>
          <w:bCs/>
          <w:sz w:val="22"/>
          <w:szCs w:val="22"/>
          <w:lang w:val="fr-CA"/>
        </w:rPr>
        <w:t>ETS</w:t>
      </w:r>
      <w:r w:rsidRPr="00245D26">
        <w:rPr>
          <w:rFonts w:asciiTheme="minorHAnsi" w:hAnsiTheme="minorHAnsi" w:cstheme="minorHAnsi"/>
          <w:b/>
          <w:bCs/>
          <w:sz w:val="22"/>
          <w:szCs w:val="22"/>
          <w:lang w:val="fr-CA"/>
        </w:rPr>
        <w:t xml:space="preserve"> Aperçu du budget - </w:t>
      </w:r>
      <w:r w:rsidRPr="00245D26">
        <w:rPr>
          <w:rFonts w:asciiTheme="minorHAnsi" w:hAnsiTheme="minorHAnsi" w:cstheme="minorHAnsi"/>
          <w:sz w:val="22"/>
          <w:szCs w:val="22"/>
          <w:lang w:val="fr-CA"/>
        </w:rPr>
        <w:t xml:space="preserve">1 CAD a dépensé environ 47 % de son budget à ce jour. 2 CAD en est à 95 % pour l'exercice financier. 2 CAD a également indiqué que </w:t>
      </w:r>
      <w:r>
        <w:rPr>
          <w:rFonts w:asciiTheme="minorHAnsi" w:hAnsiTheme="minorHAnsi" w:cstheme="minorHAnsi"/>
          <w:sz w:val="22"/>
          <w:szCs w:val="22"/>
          <w:lang w:val="fr-CA"/>
        </w:rPr>
        <w:t>RH</w:t>
      </w:r>
      <w:r w:rsidRPr="00245D26">
        <w:rPr>
          <w:rFonts w:asciiTheme="minorHAnsi" w:hAnsiTheme="minorHAnsi" w:cstheme="minorHAnsi"/>
          <w:sz w:val="22"/>
          <w:szCs w:val="22"/>
          <w:lang w:val="fr-CA"/>
        </w:rPr>
        <w:t>-Civ gère actuellement un arriéré de dossiers de classification qui devrait être rattrapé d'ici la fin octobre. Ces progrès contribueront à accélérer les mesures de dotation, mais les retards habituels dans le processus d'embauche continuent de poser des problèmes. Le brigadier-général Walker a fait remarquer que le principal problème qui affecte les délais d'embauche est la durée prolongée - souvent jusqu'à 12 mois - nécessaire pour pourvoir les postes vacants. Ce retard est en partie attribuable aux processus de classification des postes qui ne sont pas encore officiellement établis. L'UEDN a souligné que l'objectif primordial reste de garantir des pratiques d'embauche équitables.</w:t>
      </w:r>
    </w:p>
    <w:p w14:paraId="491DBAFE" w14:textId="54CBE9FF"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 xml:space="preserve">Employés de la fonction publique participant à des événements : </w:t>
      </w:r>
      <w:r w:rsidRPr="00245D26">
        <w:rPr>
          <w:rFonts w:asciiTheme="minorHAnsi" w:hAnsiTheme="minorHAnsi" w:cstheme="minorHAnsi"/>
          <w:sz w:val="22"/>
          <w:szCs w:val="22"/>
          <w:lang w:val="fr-CA"/>
        </w:rPr>
        <w:t>L</w:t>
      </w:r>
      <w:r w:rsidR="001D616A">
        <w:rPr>
          <w:rFonts w:asciiTheme="minorHAnsi" w:hAnsiTheme="minorHAnsi" w:cstheme="minorHAnsi"/>
          <w:sz w:val="22"/>
          <w:szCs w:val="22"/>
          <w:lang w:val="fr-CA"/>
        </w:rPr>
        <w:t>e SMA</w:t>
      </w:r>
      <w:r w:rsidRPr="00245D26">
        <w:rPr>
          <w:rFonts w:asciiTheme="minorHAnsi" w:hAnsiTheme="minorHAnsi" w:cstheme="minorHAnsi"/>
          <w:sz w:val="22"/>
          <w:szCs w:val="22"/>
          <w:lang w:val="fr-CA"/>
        </w:rPr>
        <w:t xml:space="preserve"> (RH-Civ) a depuis publié une politique officielle sur la participation et l'inclusion aux événements qui reflète les discussions des réunions précédentes.</w:t>
      </w:r>
    </w:p>
    <w:p w14:paraId="149B7A78" w14:textId="77777777"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Contrats de nettoyage et de services alimentaires -</w:t>
      </w:r>
      <w:r w:rsidRPr="00245D26">
        <w:rPr>
          <w:rFonts w:asciiTheme="minorHAnsi" w:hAnsiTheme="minorHAnsi" w:cstheme="minorHAnsi"/>
          <w:sz w:val="22"/>
          <w:szCs w:val="22"/>
          <w:lang w:val="fr-CA"/>
        </w:rPr>
        <w:t xml:space="preserve"> La direction a reconnu le problème persistant du manque de cuisiniers et de nettoyeurs dans les escadres, causé par des contraintes budgétaires. Cependant, grâce à une augmentation du financement, le MDN constate actuellement une augmentation du nombre de postes. Le colonel Neta a ajouté que l'exercice de planification de la structure future en cours analyse actuellement les éléments de soutien et les structures organisationnelles nécessaires pour s'aligner sur la croissance de l'ARC. L'UEDN a posé des questions sur le recours à des agences de placement temporaire pour la production alimentaire à la 17e Escadre et sur les contrats existants avec des nettoyeurs à Comox et à Kingston. La direction a répondu que les contraintes budgétaires faisaient du recours à des contrats une solution de dernier recours pour obtenir ces services. Elle a souligné qu'il était utile d'inclure une planification prévisionnelle des accords de fin de service dans la directive annuelle de planification des activités. La direction doit examiner plus en détail les contrats de services alimentaires conclus avec la 17e Escadre.</w:t>
      </w:r>
    </w:p>
    <w:p w14:paraId="2BB5F90E" w14:textId="77777777"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 xml:space="preserve">L'UEDN a soulevé des préoccupations à traiter : </w:t>
      </w:r>
    </w:p>
    <w:p w14:paraId="7F204F0C" w14:textId="77777777"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le verrouillage des toilettes de la 8e Escadre</w:t>
      </w:r>
      <w:r w:rsidRPr="00245D26">
        <w:rPr>
          <w:rFonts w:asciiTheme="minorHAnsi" w:hAnsiTheme="minorHAnsi" w:cstheme="minorHAnsi"/>
          <w:sz w:val="22"/>
          <w:szCs w:val="22"/>
          <w:lang w:val="fr-CA"/>
        </w:rPr>
        <w:t xml:space="preserve"> en raison d'une utilisation inappropriée a été confirmé, mais il n'est pas prévu de recommencer à verrouiller les toilettes.</w:t>
      </w:r>
    </w:p>
    <w:p w14:paraId="15856BB5" w14:textId="77777777"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La signalisation des toilettes/vestiaires de la caserne de pompiers de Dundurn</w:t>
      </w:r>
      <w:r w:rsidRPr="00245D26">
        <w:rPr>
          <w:rFonts w:asciiTheme="minorHAnsi" w:hAnsiTheme="minorHAnsi" w:cstheme="minorHAnsi"/>
          <w:sz w:val="22"/>
          <w:szCs w:val="22"/>
          <w:lang w:val="fr-CA"/>
        </w:rPr>
        <w:t xml:space="preserve"> n'a toujours pas été remplacée. La direction est au courant du problème et assurera un suivi. La signalisation a maintenant été changée pour « Réservé aux femmes »/« Réservé aux hommes ».</w:t>
      </w:r>
    </w:p>
    <w:p w14:paraId="3A81CB68" w14:textId="77777777"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Règlements en matière de santé et de sécurité concernant la température des locaux de travail</w:t>
      </w:r>
      <w:r w:rsidRPr="00245D26">
        <w:rPr>
          <w:rFonts w:asciiTheme="minorHAnsi" w:hAnsiTheme="minorHAnsi" w:cstheme="minorHAnsi"/>
          <w:sz w:val="22"/>
          <w:szCs w:val="22"/>
          <w:lang w:val="fr-CA"/>
        </w:rPr>
        <w:t xml:space="preserve"> : lorsque la température n'est pas conforme aux règlements, les employés doivent travailler à domicile ou voir leur horaire de travail modifié.</w:t>
      </w:r>
    </w:p>
    <w:p w14:paraId="206527A7" w14:textId="58AD2B3A"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b/>
          <w:bCs/>
          <w:sz w:val="22"/>
          <w:szCs w:val="22"/>
          <w:lang w:val="fr-CA"/>
        </w:rPr>
        <w:t xml:space="preserve">Processus </w:t>
      </w:r>
      <w:r>
        <w:rPr>
          <w:rFonts w:asciiTheme="minorHAnsi" w:hAnsiTheme="minorHAnsi" w:cstheme="minorHAnsi"/>
          <w:b/>
          <w:bCs/>
          <w:sz w:val="22"/>
          <w:szCs w:val="22"/>
          <w:lang w:val="fr-CA"/>
        </w:rPr>
        <w:t>PEED</w:t>
      </w:r>
      <w:r w:rsidRPr="00245D26">
        <w:rPr>
          <w:rFonts w:asciiTheme="minorHAnsi" w:hAnsiTheme="minorHAnsi" w:cstheme="minorHAnsi"/>
          <w:b/>
          <w:bCs/>
          <w:sz w:val="22"/>
          <w:szCs w:val="22"/>
          <w:lang w:val="fr-CA"/>
        </w:rPr>
        <w:t xml:space="preserve"> (</w:t>
      </w:r>
      <w:r w:rsidRPr="00245D26">
        <w:rPr>
          <w:rFonts w:asciiTheme="minorHAnsi" w:hAnsiTheme="minorHAnsi" w:cstheme="minorHAnsi"/>
          <w:b/>
          <w:bCs/>
          <w:sz w:val="22"/>
          <w:szCs w:val="22"/>
          <w:lang w:val="fr-CA"/>
        </w:rPr>
        <w:t xml:space="preserve">Plan d’établissement de </w:t>
      </w:r>
      <w:r>
        <w:rPr>
          <w:rFonts w:asciiTheme="minorHAnsi" w:hAnsiTheme="minorHAnsi" w:cstheme="minorHAnsi"/>
          <w:b/>
          <w:bCs/>
          <w:sz w:val="22"/>
          <w:szCs w:val="22"/>
          <w:lang w:val="fr-CA"/>
        </w:rPr>
        <w:t>l</w:t>
      </w:r>
      <w:r w:rsidR="001D616A">
        <w:rPr>
          <w:rFonts w:asciiTheme="minorHAnsi" w:hAnsiTheme="minorHAnsi" w:cstheme="minorHAnsi"/>
          <w:b/>
          <w:bCs/>
          <w:sz w:val="22"/>
          <w:szCs w:val="22"/>
          <w:lang w:val="fr-CA"/>
        </w:rPr>
        <w:t xml:space="preserve">’équipe de </w:t>
      </w:r>
      <w:r>
        <w:rPr>
          <w:rFonts w:asciiTheme="minorHAnsi" w:hAnsiTheme="minorHAnsi" w:cstheme="minorHAnsi"/>
          <w:b/>
          <w:bCs/>
          <w:sz w:val="22"/>
          <w:szCs w:val="22"/>
          <w:lang w:val="fr-CA"/>
        </w:rPr>
        <w:t>défense</w:t>
      </w:r>
      <w:r w:rsidRPr="00245D26">
        <w:rPr>
          <w:rFonts w:asciiTheme="minorHAnsi" w:hAnsiTheme="minorHAnsi" w:cstheme="minorHAnsi"/>
          <w:b/>
          <w:bCs/>
          <w:sz w:val="22"/>
          <w:szCs w:val="22"/>
          <w:lang w:val="fr-CA"/>
        </w:rPr>
        <w:t xml:space="preserve">) – </w:t>
      </w:r>
    </w:p>
    <w:p w14:paraId="63AF0776" w14:textId="54E976C3" w:rsidR="00245D26" w:rsidRPr="00245D26" w:rsidRDefault="00245D26" w:rsidP="00245D26">
      <w:pPr>
        <w:pStyle w:val="NormalWeb"/>
        <w:rPr>
          <w:rFonts w:asciiTheme="minorHAnsi" w:hAnsiTheme="minorHAnsi" w:cstheme="minorHAnsi"/>
          <w:sz w:val="22"/>
          <w:szCs w:val="22"/>
          <w:lang w:val="fr-CA"/>
        </w:rPr>
      </w:pPr>
      <w:r w:rsidRPr="00245D26">
        <w:rPr>
          <w:rFonts w:asciiTheme="minorHAnsi" w:hAnsiTheme="minorHAnsi" w:cstheme="minorHAnsi"/>
          <w:sz w:val="22"/>
          <w:szCs w:val="22"/>
          <w:lang w:val="fr-CA"/>
        </w:rPr>
        <w:t>Le colonel Neta a expliqué que le DTEP est la manière dont l'ARC demande chaque année de nouvelles ressources (MDN, F réguliers, F réservistes) sur la base d'une prévision sur deux ans. Les demandes pour l'automne 2024 doivent être soumises pour avoir un effet à l'été 2026, ce qui ralentit le processus. Les projets liés à la modernisation (par exemple, les besoins futurs en matière d'avions de combat) ont les meilleures chances d'aboutir, car le DTEP est la principale voie pour ces demandes. Le processus sert principalement à signaler la demande. Le brigadier-général Doyle a fait remarquer que même si des demandes peuvent être faites, il n'y a aucune garantie qu'elles seront approuvées. Les demandes de croissance de l</w:t>
      </w:r>
      <w:r w:rsidR="001D616A">
        <w:rPr>
          <w:rFonts w:asciiTheme="minorHAnsi" w:hAnsiTheme="minorHAnsi" w:cstheme="minorHAnsi"/>
          <w:sz w:val="22"/>
          <w:szCs w:val="22"/>
          <w:lang w:val="fr-CA"/>
        </w:rPr>
        <w:t>’</w:t>
      </w:r>
      <w:r>
        <w:rPr>
          <w:rFonts w:asciiTheme="minorHAnsi" w:hAnsiTheme="minorHAnsi" w:cstheme="minorHAnsi"/>
          <w:sz w:val="22"/>
          <w:szCs w:val="22"/>
          <w:lang w:val="fr-CA"/>
        </w:rPr>
        <w:t>ARC</w:t>
      </w:r>
      <w:r w:rsidRPr="00245D26">
        <w:rPr>
          <w:rFonts w:asciiTheme="minorHAnsi" w:hAnsiTheme="minorHAnsi" w:cstheme="minorHAnsi"/>
          <w:sz w:val="22"/>
          <w:szCs w:val="22"/>
          <w:lang w:val="fr-CA"/>
        </w:rPr>
        <w:t xml:space="preserve"> sont transmises au bureau du VCDS pour être classées par ordre de priorité. Les prévisions sur deux ans offrent une visibilité limitée aux niveaux opérationnel et tactique. Lors des demandes de postes, l'accent est mis à la fois sur les rôles au sein des FAC et sur les rôles civils. La dernière demande au </w:t>
      </w:r>
      <w:r w:rsidR="001D616A">
        <w:rPr>
          <w:rFonts w:asciiTheme="minorHAnsi" w:hAnsiTheme="minorHAnsi" w:cstheme="minorHAnsi"/>
          <w:sz w:val="22"/>
          <w:szCs w:val="22"/>
          <w:lang w:val="fr-CA"/>
        </w:rPr>
        <w:t>PEED</w:t>
      </w:r>
      <w:r w:rsidRPr="00245D26">
        <w:rPr>
          <w:rFonts w:asciiTheme="minorHAnsi" w:hAnsiTheme="minorHAnsi" w:cstheme="minorHAnsi"/>
          <w:sz w:val="22"/>
          <w:szCs w:val="22"/>
          <w:lang w:val="fr-CA"/>
        </w:rPr>
        <w:t xml:space="preserve"> portait sur 150 postes à tous les niveaux des escadrons. Le projet de chasseur futur reste incertain, les besoins en personnel évoluant constamment à mesure que les besoins de croissance changent. </w:t>
      </w:r>
    </w:p>
    <w:p w14:paraId="4CBE12E2" w14:textId="77777777" w:rsidR="00245D26" w:rsidRPr="00245D26" w:rsidRDefault="00245D26" w:rsidP="00245D26">
      <w:pPr>
        <w:pStyle w:val="NormalWeb"/>
        <w:rPr>
          <w:rFonts w:asciiTheme="minorHAnsi" w:hAnsiTheme="minorHAnsi" w:cstheme="minorHAnsi"/>
          <w:sz w:val="22"/>
          <w:szCs w:val="22"/>
          <w:lang w:val="fr-CA"/>
        </w:rPr>
      </w:pPr>
    </w:p>
    <w:p w14:paraId="32E739D9" w14:textId="77777777"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b/>
          <w:bCs/>
          <w:sz w:val="22"/>
          <w:szCs w:val="22"/>
          <w:lang w:val="fr-CA"/>
        </w:rPr>
        <w:t>Soumis respectueusement par</w:t>
      </w:r>
    </w:p>
    <w:p w14:paraId="6BA31A30" w14:textId="77777777" w:rsidR="00245D26" w:rsidRPr="00245D26" w:rsidRDefault="00245D26" w:rsidP="00245D26">
      <w:pPr>
        <w:pStyle w:val="NormalWeb"/>
        <w:spacing w:before="0" w:beforeAutospacing="0" w:after="0" w:afterAutospacing="0"/>
        <w:rPr>
          <w:rFonts w:asciiTheme="minorHAnsi" w:hAnsiTheme="minorHAnsi" w:cstheme="minorHAnsi"/>
          <w:sz w:val="22"/>
          <w:szCs w:val="22"/>
          <w:lang w:val="fr-CA"/>
        </w:rPr>
      </w:pPr>
      <w:r w:rsidRPr="00245D26">
        <w:rPr>
          <w:rFonts w:asciiTheme="minorHAnsi" w:hAnsiTheme="minorHAnsi" w:cstheme="minorHAnsi"/>
          <w:sz w:val="22"/>
          <w:szCs w:val="22"/>
          <w:lang w:val="fr-CA"/>
        </w:rPr>
        <w:t>Mona Simcoe, vice-présidente, Manitoba/Saskatchewan</w:t>
      </w:r>
    </w:p>
    <w:p w14:paraId="6B3093E7" w14:textId="77777777" w:rsidR="00245D26" w:rsidRPr="00245D26" w:rsidRDefault="00245D26" w:rsidP="00245D26">
      <w:pPr>
        <w:pStyle w:val="NormalWeb"/>
        <w:spacing w:before="0" w:beforeAutospacing="0" w:after="0" w:afterAutospacing="0"/>
        <w:rPr>
          <w:rFonts w:asciiTheme="minorHAnsi" w:hAnsiTheme="minorHAnsi" w:cstheme="minorHAnsi"/>
          <w:sz w:val="22"/>
          <w:szCs w:val="22"/>
        </w:rPr>
      </w:pPr>
      <w:r w:rsidRPr="00245D26">
        <w:rPr>
          <w:rFonts w:asciiTheme="minorHAnsi" w:hAnsiTheme="minorHAnsi" w:cstheme="minorHAnsi"/>
          <w:sz w:val="22"/>
          <w:szCs w:val="22"/>
        </w:rPr>
        <w:t>James Potts, vice-président, Ontario</w:t>
      </w:r>
    </w:p>
    <w:p w14:paraId="634265BC" w14:textId="77777777" w:rsidR="00245D26" w:rsidRPr="00245D26" w:rsidRDefault="00245D26" w:rsidP="00245D26">
      <w:pPr>
        <w:pStyle w:val="NormalWeb"/>
        <w:rPr>
          <w:rFonts w:asciiTheme="minorHAnsi" w:hAnsiTheme="minorHAnsi" w:cstheme="minorHAnsi"/>
          <w:sz w:val="22"/>
          <w:szCs w:val="22"/>
          <w:lang w:val="fr-CA"/>
        </w:rPr>
      </w:pPr>
    </w:p>
    <w:sectPr w:rsidR="00245D26" w:rsidRPr="00245D26" w:rsidSect="00E3636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6E3112"/>
    <w:multiLevelType w:val="hybridMultilevel"/>
    <w:tmpl w:val="7BBC61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1899090">
    <w:abstractNumId w:val="15"/>
  </w:num>
  <w:num w:numId="2" w16cid:durableId="912857855">
    <w:abstractNumId w:val="11"/>
  </w:num>
  <w:num w:numId="3" w16cid:durableId="1305769801">
    <w:abstractNumId w:val="15"/>
    <w:lvlOverride w:ilvl="0">
      <w:startOverride w:val="1"/>
    </w:lvlOverride>
    <w:lvlOverride w:ilvl="1"/>
    <w:lvlOverride w:ilvl="2"/>
    <w:lvlOverride w:ilvl="3"/>
    <w:lvlOverride w:ilvl="4"/>
    <w:lvlOverride w:ilvl="5"/>
    <w:lvlOverride w:ilvl="6"/>
    <w:lvlOverride w:ilvl="7"/>
    <w:lvlOverride w:ilvl="8"/>
  </w:num>
  <w:num w:numId="4" w16cid:durableId="1116824749">
    <w:abstractNumId w:val="11"/>
    <w:lvlOverride w:ilvl="0">
      <w:startOverride w:val="1"/>
    </w:lvlOverride>
    <w:lvlOverride w:ilvl="1"/>
    <w:lvlOverride w:ilvl="2"/>
    <w:lvlOverride w:ilvl="3"/>
    <w:lvlOverride w:ilvl="4"/>
    <w:lvlOverride w:ilvl="5"/>
    <w:lvlOverride w:ilvl="6"/>
    <w:lvlOverride w:ilvl="7"/>
    <w:lvlOverride w:ilvl="8"/>
  </w:num>
  <w:num w:numId="5" w16cid:durableId="621762754">
    <w:abstractNumId w:val="2"/>
  </w:num>
  <w:num w:numId="6" w16cid:durableId="1446577675">
    <w:abstractNumId w:val="7"/>
  </w:num>
  <w:num w:numId="7" w16cid:durableId="404567895">
    <w:abstractNumId w:val="8"/>
  </w:num>
  <w:num w:numId="8" w16cid:durableId="1637835686">
    <w:abstractNumId w:val="3"/>
  </w:num>
  <w:num w:numId="9" w16cid:durableId="895774513">
    <w:abstractNumId w:val="0"/>
  </w:num>
  <w:num w:numId="10" w16cid:durableId="1021467966">
    <w:abstractNumId w:val="14"/>
  </w:num>
  <w:num w:numId="11" w16cid:durableId="1346009419">
    <w:abstractNumId w:val="6"/>
  </w:num>
  <w:num w:numId="12" w16cid:durableId="2104102448">
    <w:abstractNumId w:val="5"/>
  </w:num>
  <w:num w:numId="13" w16cid:durableId="1405644150">
    <w:abstractNumId w:val="4"/>
  </w:num>
  <w:num w:numId="14" w16cid:durableId="564798608">
    <w:abstractNumId w:val="1"/>
  </w:num>
  <w:num w:numId="15" w16cid:durableId="1547451159">
    <w:abstractNumId w:val="12"/>
  </w:num>
  <w:num w:numId="16" w16cid:durableId="2051146447">
    <w:abstractNumId w:val="10"/>
  </w:num>
  <w:num w:numId="17" w16cid:durableId="316811710">
    <w:abstractNumId w:val="9"/>
  </w:num>
  <w:num w:numId="18" w16cid:durableId="11417289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0E62B2"/>
    <w:rsid w:val="00162473"/>
    <w:rsid w:val="00167BF8"/>
    <w:rsid w:val="001D2F3E"/>
    <w:rsid w:val="001D616A"/>
    <w:rsid w:val="00204DE2"/>
    <w:rsid w:val="002204CD"/>
    <w:rsid w:val="00245D26"/>
    <w:rsid w:val="002D7C1B"/>
    <w:rsid w:val="003B0E7D"/>
    <w:rsid w:val="00426343"/>
    <w:rsid w:val="004361CC"/>
    <w:rsid w:val="00470B59"/>
    <w:rsid w:val="004E7815"/>
    <w:rsid w:val="0052081B"/>
    <w:rsid w:val="005841BF"/>
    <w:rsid w:val="005C24F3"/>
    <w:rsid w:val="005D50B0"/>
    <w:rsid w:val="00612583"/>
    <w:rsid w:val="00641800"/>
    <w:rsid w:val="00661694"/>
    <w:rsid w:val="006643B3"/>
    <w:rsid w:val="006B6C2D"/>
    <w:rsid w:val="006D11DB"/>
    <w:rsid w:val="006E3361"/>
    <w:rsid w:val="006E5DEE"/>
    <w:rsid w:val="00713550"/>
    <w:rsid w:val="00746411"/>
    <w:rsid w:val="00760FD7"/>
    <w:rsid w:val="00763029"/>
    <w:rsid w:val="00770A61"/>
    <w:rsid w:val="007A6CF8"/>
    <w:rsid w:val="00800630"/>
    <w:rsid w:val="00812E0F"/>
    <w:rsid w:val="0083576C"/>
    <w:rsid w:val="008450C5"/>
    <w:rsid w:val="00871F67"/>
    <w:rsid w:val="008A456B"/>
    <w:rsid w:val="009D7278"/>
    <w:rsid w:val="00B96A7A"/>
    <w:rsid w:val="00BA7ADC"/>
    <w:rsid w:val="00BE46C8"/>
    <w:rsid w:val="00C80020"/>
    <w:rsid w:val="00CD32AC"/>
    <w:rsid w:val="00D27F02"/>
    <w:rsid w:val="00DB73E3"/>
    <w:rsid w:val="00DD47FE"/>
    <w:rsid w:val="00E3636A"/>
    <w:rsid w:val="00E40700"/>
    <w:rsid w:val="00E4387D"/>
    <w:rsid w:val="00E537ED"/>
    <w:rsid w:val="00E5788A"/>
    <w:rsid w:val="00EE7B33"/>
    <w:rsid w:val="00F33493"/>
    <w:rsid w:val="00F53977"/>
    <w:rsid w:val="00FB5A84"/>
    <w:rsid w:val="00FD32F1"/>
    <w:rsid w:val="00FD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eastAsiaTheme="minorHAnsi" w:hAnsi="Calibri" w:cs="Calibri"/>
      <w:lang w:eastAsia="en-US"/>
      <w14:ligatures w14:val="standardContextual"/>
    </w:rPr>
  </w:style>
  <w:style w:type="paragraph" w:styleId="NormalWeb">
    <w:name w:val="Normal (Web)"/>
    <w:basedOn w:val="Normal"/>
    <w:uiPriority w:val="99"/>
    <w:semiHidden/>
    <w:unhideWhenUsed/>
    <w:rsid w:val="00245D2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5875">
      <w:bodyDiv w:val="1"/>
      <w:marLeft w:val="0"/>
      <w:marRight w:val="0"/>
      <w:marTop w:val="0"/>
      <w:marBottom w:val="0"/>
      <w:divBdr>
        <w:top w:val="none" w:sz="0" w:space="0" w:color="auto"/>
        <w:left w:val="none" w:sz="0" w:space="0" w:color="auto"/>
        <w:bottom w:val="none" w:sz="0" w:space="0" w:color="auto"/>
        <w:right w:val="none" w:sz="0" w:space="0" w:color="auto"/>
      </w:divBdr>
    </w:div>
    <w:div w:id="381754510">
      <w:bodyDiv w:val="1"/>
      <w:marLeft w:val="0"/>
      <w:marRight w:val="0"/>
      <w:marTop w:val="0"/>
      <w:marBottom w:val="0"/>
      <w:divBdr>
        <w:top w:val="none" w:sz="0" w:space="0" w:color="auto"/>
        <w:left w:val="none" w:sz="0" w:space="0" w:color="auto"/>
        <w:bottom w:val="none" w:sz="0" w:space="0" w:color="auto"/>
        <w:right w:val="none" w:sz="0" w:space="0" w:color="auto"/>
      </w:divBdr>
    </w:div>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392504177">
      <w:bodyDiv w:val="1"/>
      <w:marLeft w:val="0"/>
      <w:marRight w:val="0"/>
      <w:marTop w:val="0"/>
      <w:marBottom w:val="0"/>
      <w:divBdr>
        <w:top w:val="none" w:sz="0" w:space="0" w:color="auto"/>
        <w:left w:val="none" w:sz="0" w:space="0" w:color="auto"/>
        <w:bottom w:val="none" w:sz="0" w:space="0" w:color="auto"/>
        <w:right w:val="none" w:sz="0" w:space="0" w:color="auto"/>
      </w:divBdr>
    </w:div>
    <w:div w:id="441341641">
      <w:bodyDiv w:val="1"/>
      <w:marLeft w:val="0"/>
      <w:marRight w:val="0"/>
      <w:marTop w:val="0"/>
      <w:marBottom w:val="0"/>
      <w:divBdr>
        <w:top w:val="none" w:sz="0" w:space="0" w:color="auto"/>
        <w:left w:val="none" w:sz="0" w:space="0" w:color="auto"/>
        <w:bottom w:val="none" w:sz="0" w:space="0" w:color="auto"/>
        <w:right w:val="none" w:sz="0" w:space="0" w:color="auto"/>
      </w:divBdr>
    </w:div>
    <w:div w:id="843863136">
      <w:bodyDiv w:val="1"/>
      <w:marLeft w:val="0"/>
      <w:marRight w:val="0"/>
      <w:marTop w:val="0"/>
      <w:marBottom w:val="0"/>
      <w:divBdr>
        <w:top w:val="none" w:sz="0" w:space="0" w:color="auto"/>
        <w:left w:val="none" w:sz="0" w:space="0" w:color="auto"/>
        <w:bottom w:val="none" w:sz="0" w:space="0" w:color="auto"/>
        <w:right w:val="none" w:sz="0" w:space="0" w:color="auto"/>
      </w:divBdr>
    </w:div>
    <w:div w:id="983315238">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068263768">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193617525">
      <w:bodyDiv w:val="1"/>
      <w:marLeft w:val="0"/>
      <w:marRight w:val="0"/>
      <w:marTop w:val="0"/>
      <w:marBottom w:val="0"/>
      <w:divBdr>
        <w:top w:val="none" w:sz="0" w:space="0" w:color="auto"/>
        <w:left w:val="none" w:sz="0" w:space="0" w:color="auto"/>
        <w:bottom w:val="none" w:sz="0" w:space="0" w:color="auto"/>
        <w:right w:val="none" w:sz="0" w:space="0" w:color="auto"/>
      </w:divBdr>
    </w:div>
    <w:div w:id="1293706133">
      <w:bodyDiv w:val="1"/>
      <w:marLeft w:val="0"/>
      <w:marRight w:val="0"/>
      <w:marTop w:val="0"/>
      <w:marBottom w:val="0"/>
      <w:divBdr>
        <w:top w:val="none" w:sz="0" w:space="0" w:color="auto"/>
        <w:left w:val="none" w:sz="0" w:space="0" w:color="auto"/>
        <w:bottom w:val="none" w:sz="0" w:space="0" w:color="auto"/>
        <w:right w:val="none" w:sz="0" w:space="0" w:color="auto"/>
      </w:divBdr>
    </w:div>
    <w:div w:id="1462844273">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 w:id="1704939642">
      <w:bodyDiv w:val="1"/>
      <w:marLeft w:val="0"/>
      <w:marRight w:val="0"/>
      <w:marTop w:val="0"/>
      <w:marBottom w:val="0"/>
      <w:divBdr>
        <w:top w:val="none" w:sz="0" w:space="0" w:color="auto"/>
        <w:left w:val="none" w:sz="0" w:space="0" w:color="auto"/>
        <w:bottom w:val="none" w:sz="0" w:space="0" w:color="auto"/>
        <w:right w:val="none" w:sz="0" w:space="0" w:color="auto"/>
      </w:divBdr>
    </w:div>
    <w:div w:id="187323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1656</Words>
  <Characters>8894</Characters>
  <Application>Microsoft Office Word</Application>
  <DocSecurity>0</DocSecurity>
  <Lines>130</Lines>
  <Paragraphs>42</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2025-11-26T15:29:00Z</dcterms:created>
  <dcterms:modified xsi:type="dcterms:W3CDTF">2025-11-26T15:44:00Z</dcterms:modified>
</cp:coreProperties>
</file>