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EC3D8" w14:textId="25A9D4A0" w:rsidR="00D61874" w:rsidRPr="00D61874" w:rsidRDefault="00D61874" w:rsidP="00D61874">
      <w:pPr>
        <w:pStyle w:val="NormalWeb"/>
        <w:spacing w:before="0" w:beforeAutospacing="0" w:after="0" w:afterAutospacing="0"/>
        <w:jc w:val="center"/>
        <w:rPr>
          <w:rFonts w:asciiTheme="minorHAnsi" w:hAnsiTheme="minorHAnsi" w:cstheme="minorHAnsi"/>
          <w:sz w:val="22"/>
          <w:szCs w:val="22"/>
          <w:lang w:val="fr-CA"/>
        </w:rPr>
      </w:pPr>
      <w:r>
        <w:rPr>
          <w:rFonts w:asciiTheme="minorHAnsi" w:hAnsiTheme="minorHAnsi" w:cstheme="minorHAnsi"/>
          <w:b/>
          <w:bCs/>
          <w:sz w:val="22"/>
          <w:szCs w:val="22"/>
          <w:lang w:val="fr-CA"/>
        </w:rPr>
        <w:t>CCSP du SMA</w:t>
      </w:r>
      <w:r w:rsidRPr="00D61874">
        <w:rPr>
          <w:rFonts w:asciiTheme="minorHAnsi" w:hAnsiTheme="minorHAnsi" w:cstheme="minorHAnsi"/>
          <w:b/>
          <w:bCs/>
          <w:sz w:val="22"/>
          <w:szCs w:val="22"/>
          <w:lang w:val="fr-CA"/>
        </w:rPr>
        <w:t xml:space="preserve"> Infrastructure et environnement</w:t>
      </w:r>
    </w:p>
    <w:p w14:paraId="226BE965" w14:textId="6C8BBAB1" w:rsidR="00D61874" w:rsidRPr="00D61874" w:rsidRDefault="00D61874" w:rsidP="00D61874">
      <w:pPr>
        <w:pStyle w:val="NormalWeb"/>
        <w:spacing w:before="0" w:beforeAutospacing="0" w:after="0" w:afterAutospacing="0"/>
        <w:jc w:val="center"/>
        <w:rPr>
          <w:rFonts w:asciiTheme="minorHAnsi" w:hAnsiTheme="minorHAnsi" w:cstheme="minorHAnsi"/>
          <w:sz w:val="22"/>
          <w:szCs w:val="22"/>
          <w:lang w:val="fr-CA"/>
        </w:rPr>
      </w:pPr>
      <w:r>
        <w:rPr>
          <w:rFonts w:asciiTheme="minorHAnsi" w:hAnsiTheme="minorHAnsi" w:cstheme="minorHAnsi"/>
          <w:b/>
          <w:bCs/>
          <w:sz w:val="22"/>
          <w:szCs w:val="22"/>
          <w:lang w:val="fr-CA"/>
        </w:rPr>
        <w:t>SMA</w:t>
      </w:r>
      <w:r w:rsidRPr="00D61874">
        <w:rPr>
          <w:rFonts w:asciiTheme="minorHAnsi" w:hAnsiTheme="minorHAnsi" w:cstheme="minorHAnsi"/>
          <w:b/>
          <w:bCs/>
          <w:sz w:val="22"/>
          <w:szCs w:val="22"/>
          <w:lang w:val="fr-CA"/>
        </w:rPr>
        <w:t xml:space="preserve">(IE) </w:t>
      </w:r>
      <w:r>
        <w:rPr>
          <w:rFonts w:asciiTheme="minorHAnsi" w:hAnsiTheme="minorHAnsi" w:cstheme="minorHAnsi"/>
          <w:b/>
          <w:bCs/>
          <w:sz w:val="22"/>
          <w:szCs w:val="22"/>
          <w:lang w:val="fr-CA"/>
        </w:rPr>
        <w:t>CCSP</w:t>
      </w:r>
    </w:p>
    <w:p w14:paraId="20E59CD0" w14:textId="77777777" w:rsidR="00D61874" w:rsidRPr="00D61874" w:rsidRDefault="00D61874" w:rsidP="00D61874">
      <w:pPr>
        <w:pStyle w:val="NormalWeb"/>
        <w:spacing w:before="0" w:beforeAutospacing="0" w:after="0" w:afterAutospacing="0"/>
        <w:jc w:val="center"/>
        <w:rPr>
          <w:rFonts w:asciiTheme="minorHAnsi" w:hAnsiTheme="minorHAnsi" w:cstheme="minorHAnsi"/>
          <w:sz w:val="22"/>
          <w:szCs w:val="22"/>
          <w:lang w:val="fr-CA"/>
        </w:rPr>
      </w:pPr>
      <w:r w:rsidRPr="00D61874">
        <w:rPr>
          <w:rFonts w:asciiTheme="minorHAnsi" w:hAnsiTheme="minorHAnsi" w:cstheme="minorHAnsi"/>
          <w:b/>
          <w:bCs/>
          <w:sz w:val="22"/>
          <w:szCs w:val="22"/>
          <w:lang w:val="fr-CA"/>
        </w:rPr>
        <w:t>Rapport pour la réunion de l'Exécutif national, décembre 2025</w:t>
      </w:r>
    </w:p>
    <w:p w14:paraId="25EE01DB" w14:textId="77777777" w:rsidR="00724D28" w:rsidRPr="00D61874" w:rsidRDefault="00724D28" w:rsidP="00D61874">
      <w:pPr>
        <w:jc w:val="center"/>
        <w:rPr>
          <w:rFonts w:asciiTheme="minorHAnsi" w:hAnsiTheme="minorHAnsi" w:cstheme="minorHAnsi"/>
          <w:b/>
          <w:sz w:val="22"/>
          <w:lang w:val="fr-CA"/>
        </w:rPr>
      </w:pPr>
    </w:p>
    <w:p w14:paraId="5005876C" w14:textId="642FDA19" w:rsidR="00D61874" w:rsidRPr="00D61874" w:rsidRDefault="00D61874" w:rsidP="00D61874">
      <w:pPr>
        <w:rPr>
          <w:rFonts w:asciiTheme="minorHAnsi" w:hAnsiTheme="minorHAnsi" w:cstheme="minorHAnsi"/>
          <w:sz w:val="22"/>
          <w:lang w:val="fr-CA"/>
        </w:rPr>
      </w:pPr>
      <w:r w:rsidRPr="00D61874">
        <w:rPr>
          <w:rFonts w:asciiTheme="minorHAnsi" w:hAnsiTheme="minorHAnsi" w:cstheme="minorHAnsi"/>
          <w:sz w:val="22"/>
          <w:lang w:val="fr-CA"/>
        </w:rPr>
        <w:t>Les réunions d</w:t>
      </w:r>
      <w:r>
        <w:rPr>
          <w:rFonts w:asciiTheme="minorHAnsi" w:hAnsiTheme="minorHAnsi" w:cstheme="minorHAnsi"/>
          <w:sz w:val="22"/>
          <w:lang w:val="fr-CA"/>
        </w:rPr>
        <w:t>u</w:t>
      </w:r>
      <w:r w:rsidRPr="00D61874">
        <w:rPr>
          <w:rFonts w:asciiTheme="minorHAnsi" w:hAnsiTheme="minorHAnsi" w:cstheme="minorHAnsi"/>
          <w:sz w:val="22"/>
          <w:lang w:val="fr-CA"/>
        </w:rPr>
        <w:t xml:space="preserve"> </w:t>
      </w:r>
      <w:r>
        <w:rPr>
          <w:rFonts w:asciiTheme="minorHAnsi" w:hAnsiTheme="minorHAnsi" w:cstheme="minorHAnsi"/>
          <w:sz w:val="22"/>
          <w:lang w:val="fr-CA"/>
        </w:rPr>
        <w:t>SMA</w:t>
      </w:r>
      <w:r w:rsidRPr="00D61874">
        <w:rPr>
          <w:rFonts w:asciiTheme="minorHAnsi" w:hAnsiTheme="minorHAnsi" w:cstheme="minorHAnsi"/>
          <w:sz w:val="22"/>
          <w:lang w:val="fr-CA"/>
        </w:rPr>
        <w:t xml:space="preserve">(IE) </w:t>
      </w:r>
      <w:r>
        <w:rPr>
          <w:rFonts w:asciiTheme="minorHAnsi" w:hAnsiTheme="minorHAnsi" w:cstheme="minorHAnsi"/>
          <w:sz w:val="22"/>
          <w:lang w:val="fr-CA"/>
        </w:rPr>
        <w:t>CCSP</w:t>
      </w:r>
      <w:r w:rsidRPr="00D61874">
        <w:rPr>
          <w:rFonts w:asciiTheme="minorHAnsi" w:hAnsiTheme="minorHAnsi" w:cstheme="minorHAnsi"/>
          <w:sz w:val="22"/>
          <w:lang w:val="fr-CA"/>
        </w:rPr>
        <w:t xml:space="preserve"> ont eu lieu le 23 juin et le 14 novembre.</w:t>
      </w:r>
    </w:p>
    <w:p w14:paraId="7F291126" w14:textId="7953926E" w:rsidR="00D61874" w:rsidRPr="00D61874" w:rsidRDefault="00D61874" w:rsidP="00D61874">
      <w:pPr>
        <w:rPr>
          <w:rFonts w:asciiTheme="minorHAnsi" w:hAnsiTheme="minorHAnsi" w:cstheme="minorHAnsi"/>
          <w:sz w:val="22"/>
          <w:lang w:val="fr-CA"/>
        </w:rPr>
      </w:pPr>
      <w:r w:rsidRPr="00D61874">
        <w:rPr>
          <w:rFonts w:asciiTheme="minorHAnsi" w:hAnsiTheme="minorHAnsi" w:cstheme="minorHAnsi"/>
          <w:sz w:val="22"/>
          <w:lang w:val="fr-CA"/>
        </w:rPr>
        <w:t>SMA</w:t>
      </w:r>
      <w:r w:rsidRPr="00D61874">
        <w:rPr>
          <w:rFonts w:asciiTheme="minorHAnsi" w:hAnsiTheme="minorHAnsi" w:cstheme="minorHAnsi"/>
          <w:sz w:val="22"/>
          <w:lang w:val="fr-CA"/>
        </w:rPr>
        <w:t xml:space="preserve">(IE) Peter </w:t>
      </w:r>
      <w:proofErr w:type="spellStart"/>
      <w:r w:rsidRPr="00D61874">
        <w:rPr>
          <w:rFonts w:asciiTheme="minorHAnsi" w:hAnsiTheme="minorHAnsi" w:cstheme="minorHAnsi"/>
          <w:sz w:val="22"/>
          <w:lang w:val="fr-CA"/>
        </w:rPr>
        <w:t>Hammerschmidt</w:t>
      </w:r>
      <w:proofErr w:type="spellEnd"/>
      <w:r w:rsidRPr="00D61874">
        <w:rPr>
          <w:rFonts w:asciiTheme="minorHAnsi" w:hAnsiTheme="minorHAnsi" w:cstheme="minorHAnsi"/>
          <w:sz w:val="22"/>
          <w:lang w:val="fr-CA"/>
        </w:rPr>
        <w:t xml:space="preserve">, </w:t>
      </w:r>
      <w:proofErr w:type="spellStart"/>
      <w:r w:rsidRPr="00D61874">
        <w:rPr>
          <w:rFonts w:asciiTheme="minorHAnsi" w:hAnsiTheme="minorHAnsi" w:cstheme="minorHAnsi"/>
          <w:sz w:val="22"/>
          <w:lang w:val="fr-CA"/>
        </w:rPr>
        <w:t>MGen</w:t>
      </w:r>
      <w:proofErr w:type="spellEnd"/>
      <w:r w:rsidRPr="00D61874">
        <w:rPr>
          <w:rFonts w:asciiTheme="minorHAnsi" w:hAnsiTheme="minorHAnsi" w:cstheme="minorHAnsi"/>
          <w:sz w:val="22"/>
          <w:lang w:val="fr-CA"/>
        </w:rPr>
        <w:t xml:space="preserve"> Nicolas Pilon, COS(IE) et Col Fortin </w:t>
      </w:r>
      <w:proofErr w:type="spellStart"/>
      <w:r w:rsidRPr="00D61874">
        <w:rPr>
          <w:rFonts w:asciiTheme="minorHAnsi" w:hAnsiTheme="minorHAnsi" w:cstheme="minorHAnsi"/>
          <w:sz w:val="22"/>
          <w:lang w:val="fr-CA"/>
        </w:rPr>
        <w:t>Comd</w:t>
      </w:r>
      <w:proofErr w:type="spellEnd"/>
      <w:r w:rsidRPr="00D61874">
        <w:rPr>
          <w:rFonts w:asciiTheme="minorHAnsi" w:hAnsiTheme="minorHAnsi" w:cstheme="minorHAnsi"/>
          <w:sz w:val="22"/>
          <w:lang w:val="fr-CA"/>
        </w:rPr>
        <w:t xml:space="preserve"> RP Ops Gp HQ.</w:t>
      </w:r>
    </w:p>
    <w:p w14:paraId="6583D39E" w14:textId="77777777" w:rsidR="00D61874" w:rsidRPr="00D61874" w:rsidRDefault="00D61874" w:rsidP="00D61874">
      <w:pPr>
        <w:rPr>
          <w:rFonts w:asciiTheme="minorHAnsi" w:hAnsiTheme="minorHAnsi" w:cstheme="minorHAnsi"/>
          <w:sz w:val="22"/>
          <w:lang w:val="fr-CA"/>
        </w:rPr>
      </w:pPr>
    </w:p>
    <w:p w14:paraId="0D5A3522" w14:textId="1545DFC5" w:rsidR="00D61874" w:rsidRPr="00D61874" w:rsidRDefault="00D61874" w:rsidP="00D61874">
      <w:pPr>
        <w:pStyle w:val="NormalWeb"/>
        <w:rPr>
          <w:rFonts w:ascii="Calibri" w:hAnsi="Calibri" w:cs="Calibri"/>
          <w:sz w:val="22"/>
          <w:szCs w:val="22"/>
          <w:lang w:val="fr-CA"/>
        </w:rPr>
      </w:pPr>
      <w:r w:rsidRPr="00D61874">
        <w:rPr>
          <w:rFonts w:ascii="Calibri" w:hAnsi="Calibri" w:cs="Calibri"/>
          <w:b/>
          <w:bCs/>
          <w:sz w:val="22"/>
          <w:szCs w:val="22"/>
          <w:lang w:val="fr-CA"/>
        </w:rPr>
        <w:t xml:space="preserve">Mise à jour financière – juin </w:t>
      </w:r>
      <w:r>
        <w:rPr>
          <w:rFonts w:ascii="Calibri" w:hAnsi="Calibri" w:cs="Calibri"/>
          <w:b/>
          <w:bCs/>
          <w:sz w:val="22"/>
          <w:szCs w:val="22"/>
          <w:lang w:val="fr-CA"/>
        </w:rPr>
        <w:t>CCSP</w:t>
      </w:r>
    </w:p>
    <w:p w14:paraId="58B51FEF" w14:textId="77777777" w:rsidR="00D61874" w:rsidRPr="00D61874" w:rsidRDefault="00D61874" w:rsidP="00D61874">
      <w:pPr>
        <w:pStyle w:val="NormalWeb"/>
        <w:rPr>
          <w:rFonts w:ascii="Calibri" w:hAnsi="Calibri" w:cs="Calibri"/>
          <w:sz w:val="22"/>
          <w:szCs w:val="22"/>
          <w:lang w:val="fr-CA"/>
        </w:rPr>
      </w:pPr>
      <w:r w:rsidRPr="00D61874">
        <w:rPr>
          <w:rFonts w:ascii="Calibri" w:hAnsi="Calibri" w:cs="Calibri"/>
          <w:b/>
          <w:bCs/>
          <w:sz w:val="22"/>
          <w:szCs w:val="22"/>
          <w:lang w:val="fr-CA"/>
        </w:rPr>
        <w:t>Annonce des investissements de la Défense (en espèces) : Action</w:t>
      </w:r>
    </w:p>
    <w:p w14:paraId="3796F1B6" w14:textId="77777777" w:rsidR="00D61874" w:rsidRPr="00D61874" w:rsidRDefault="00D61874" w:rsidP="00D61874">
      <w:pPr>
        <w:rPr>
          <w:rFonts w:asciiTheme="minorHAnsi" w:hAnsiTheme="minorHAnsi" w:cstheme="minorHAnsi"/>
          <w:sz w:val="22"/>
        </w:rPr>
      </w:pPr>
      <w:r w:rsidRPr="00D61874">
        <w:rPr>
          <w:rFonts w:asciiTheme="minorHAnsi" w:hAnsiTheme="minorHAnsi" w:cstheme="minorHAnsi"/>
          <w:sz w:val="22"/>
        </w:rPr>
        <w:t>(1) Maintien des infrastructures – 8,8 milliards de dollars sur 5 ans, 69 milliards de dollars sur 20 ans ;</w:t>
      </w:r>
    </w:p>
    <w:p w14:paraId="34C39D72" w14:textId="77777777" w:rsidR="00D61874" w:rsidRPr="00D61874" w:rsidRDefault="00D61874" w:rsidP="00D61874">
      <w:pPr>
        <w:rPr>
          <w:rFonts w:asciiTheme="minorHAnsi" w:hAnsiTheme="minorHAnsi" w:cstheme="minorHAnsi"/>
          <w:sz w:val="22"/>
        </w:rPr>
      </w:pPr>
      <w:r w:rsidRPr="00D61874">
        <w:rPr>
          <w:rFonts w:asciiTheme="minorHAnsi" w:hAnsiTheme="minorHAnsi" w:cstheme="minorHAnsi"/>
          <w:sz w:val="22"/>
        </w:rPr>
        <w:t>(2) Augmentation de la capacité en munitions – 1,5 milliard de dollars sur 5 ans, 5,8 millions de dollars sur 20 ans ;</w:t>
      </w:r>
    </w:p>
    <w:p w14:paraId="4F7BFF72" w14:textId="77777777" w:rsidR="00D61874" w:rsidRPr="00D61874" w:rsidRDefault="00D61874" w:rsidP="00D61874">
      <w:pPr>
        <w:rPr>
          <w:rFonts w:asciiTheme="minorHAnsi" w:hAnsiTheme="minorHAnsi" w:cstheme="minorHAnsi"/>
          <w:sz w:val="22"/>
        </w:rPr>
      </w:pPr>
      <w:r w:rsidRPr="00D61874">
        <w:rPr>
          <w:rFonts w:asciiTheme="minorHAnsi" w:hAnsiTheme="minorHAnsi" w:cstheme="minorHAnsi"/>
          <w:sz w:val="22"/>
        </w:rPr>
        <w:t xml:space="preserve">(3) Réhabilitation des infrastructures d'entraînement et de tir – 2,6 milliards de dollars sur 5 ans, 11,4 milliards de dollars sur 20 ans ; </w:t>
      </w:r>
    </w:p>
    <w:p w14:paraId="63039ADE" w14:textId="77777777" w:rsidR="00D61874" w:rsidRPr="00D61874" w:rsidRDefault="00D61874" w:rsidP="00D61874">
      <w:pPr>
        <w:rPr>
          <w:rFonts w:asciiTheme="minorHAnsi" w:hAnsiTheme="minorHAnsi" w:cstheme="minorHAnsi"/>
          <w:sz w:val="22"/>
        </w:rPr>
      </w:pPr>
      <w:r w:rsidRPr="00D61874">
        <w:rPr>
          <w:rFonts w:asciiTheme="minorHAnsi" w:hAnsiTheme="minorHAnsi" w:cstheme="minorHAnsi"/>
          <w:sz w:val="22"/>
        </w:rPr>
        <w:t xml:space="preserve">(4) Infrastructures navales – 1,2 milliard de dollars sur 5 ans, 18,1 milliards de dollars sur 20 ans ; et </w:t>
      </w:r>
    </w:p>
    <w:p w14:paraId="1C592A6A" w14:textId="04FD64D5" w:rsidR="00D61874" w:rsidRPr="00D61874" w:rsidRDefault="00D61874" w:rsidP="00D61874">
      <w:pPr>
        <w:rPr>
          <w:rFonts w:asciiTheme="minorHAnsi" w:hAnsiTheme="minorHAnsi" w:cstheme="minorHAnsi"/>
          <w:sz w:val="22"/>
          <w:lang w:val="fr-CA"/>
        </w:rPr>
      </w:pPr>
      <w:r w:rsidRPr="00D61874">
        <w:rPr>
          <w:rFonts w:asciiTheme="minorHAnsi" w:hAnsiTheme="minorHAnsi" w:cstheme="minorHAnsi"/>
          <w:sz w:val="22"/>
          <w:lang w:val="fr-CA"/>
        </w:rPr>
        <w:t xml:space="preserve">(5) Un gain important dans l'investissement de ce gouvernement est l'allocation de 1 246 ETP et de l'enveloppe </w:t>
      </w:r>
      <w:r>
        <w:rPr>
          <w:rFonts w:asciiTheme="minorHAnsi" w:hAnsiTheme="minorHAnsi" w:cstheme="minorHAnsi"/>
          <w:sz w:val="22"/>
          <w:lang w:val="fr-CA"/>
        </w:rPr>
        <w:t>ETS</w:t>
      </w:r>
      <w:r w:rsidRPr="00D61874">
        <w:rPr>
          <w:rFonts w:asciiTheme="minorHAnsi" w:hAnsiTheme="minorHAnsi" w:cstheme="minorHAnsi"/>
          <w:sz w:val="22"/>
          <w:lang w:val="fr-CA"/>
        </w:rPr>
        <w:t xml:space="preserve"> associée au groupe des opérations des FC pour soutenir l'initiative de maintien des infrastructures.</w:t>
      </w:r>
    </w:p>
    <w:p w14:paraId="141A0917" w14:textId="77777777" w:rsidR="00D61874" w:rsidRPr="00D61874" w:rsidRDefault="00D61874" w:rsidP="00D61874">
      <w:pPr>
        <w:rPr>
          <w:rFonts w:asciiTheme="minorHAnsi" w:hAnsiTheme="minorHAnsi" w:cstheme="minorHAnsi"/>
          <w:sz w:val="22"/>
          <w:lang w:val="fr-CA"/>
        </w:rPr>
      </w:pPr>
    </w:p>
    <w:p w14:paraId="225CE631" w14:textId="1AE5BC50" w:rsidR="00D61874" w:rsidRPr="00D61874" w:rsidRDefault="00D61874" w:rsidP="00D61874">
      <w:pPr>
        <w:rPr>
          <w:rFonts w:asciiTheme="minorHAnsi" w:hAnsiTheme="minorHAnsi" w:cstheme="minorHAnsi"/>
          <w:sz w:val="22"/>
          <w:lang w:val="fr-CA"/>
        </w:rPr>
      </w:pPr>
      <w:r w:rsidRPr="00D61874">
        <w:rPr>
          <w:rFonts w:asciiTheme="minorHAnsi" w:hAnsiTheme="minorHAnsi" w:cstheme="minorHAnsi"/>
          <w:sz w:val="22"/>
          <w:lang w:val="fr-CA"/>
        </w:rPr>
        <w:t>Ces fonds s'ajouteront au financement reçu dans le cadre du programme « Notre Nord, fort et libre ».</w:t>
      </w:r>
    </w:p>
    <w:p w14:paraId="1630256D" w14:textId="0B7AACE4" w:rsidR="00D61874" w:rsidRPr="00D61874" w:rsidRDefault="00D61874" w:rsidP="00D61874">
      <w:pPr>
        <w:pStyle w:val="NormalWeb"/>
        <w:rPr>
          <w:rFonts w:ascii="Calibri" w:hAnsi="Calibri" w:cs="Calibri"/>
          <w:sz w:val="22"/>
          <w:szCs w:val="22"/>
          <w:lang w:val="fr-CA"/>
        </w:rPr>
      </w:pPr>
      <w:r>
        <w:rPr>
          <w:rFonts w:ascii="Calibri" w:hAnsi="Calibri" w:cs="Calibri"/>
          <w:b/>
          <w:bCs/>
          <w:sz w:val="22"/>
          <w:szCs w:val="22"/>
          <w:lang w:val="fr-CA"/>
        </w:rPr>
        <w:t>CCSP</w:t>
      </w:r>
      <w:r w:rsidRPr="00D61874">
        <w:rPr>
          <w:rFonts w:ascii="Calibri" w:hAnsi="Calibri" w:cs="Calibri"/>
          <w:b/>
          <w:bCs/>
          <w:sz w:val="22"/>
          <w:szCs w:val="22"/>
          <w:lang w:val="fr-CA"/>
        </w:rPr>
        <w:t xml:space="preserve"> de novembre -</w:t>
      </w:r>
    </w:p>
    <w:p w14:paraId="5018725B" w14:textId="34A4BDEB" w:rsidR="00D61874" w:rsidRPr="00D61874" w:rsidRDefault="00D61874" w:rsidP="00D61874">
      <w:pPr>
        <w:pStyle w:val="NormalWeb"/>
        <w:rPr>
          <w:rFonts w:ascii="Calibri" w:hAnsi="Calibri" w:cs="Calibri"/>
          <w:sz w:val="22"/>
          <w:szCs w:val="22"/>
          <w:lang w:val="fr-CA"/>
        </w:rPr>
      </w:pPr>
      <w:r w:rsidRPr="00D61874">
        <w:rPr>
          <w:rFonts w:ascii="Calibri" w:hAnsi="Calibri" w:cs="Calibri"/>
          <w:b/>
          <w:bCs/>
          <w:sz w:val="22"/>
          <w:szCs w:val="22"/>
          <w:lang w:val="fr-CA"/>
        </w:rPr>
        <w:t xml:space="preserve">Voir les ressources PowerPoint – </w:t>
      </w:r>
      <w:r>
        <w:rPr>
          <w:rFonts w:ascii="Calibri" w:hAnsi="Calibri" w:cs="Calibri"/>
          <w:b/>
          <w:bCs/>
          <w:sz w:val="22"/>
          <w:szCs w:val="22"/>
          <w:lang w:val="fr-CA"/>
        </w:rPr>
        <w:t>CCPS</w:t>
      </w:r>
      <w:r w:rsidRPr="00D61874">
        <w:rPr>
          <w:rFonts w:ascii="Calibri" w:hAnsi="Calibri" w:cs="Calibri"/>
          <w:b/>
          <w:bCs/>
          <w:sz w:val="22"/>
          <w:szCs w:val="22"/>
          <w:lang w:val="fr-CA"/>
        </w:rPr>
        <w:t xml:space="preserve"> Dépenses de défense </w:t>
      </w:r>
      <w:r>
        <w:rPr>
          <w:rFonts w:ascii="Calibri" w:hAnsi="Calibri" w:cs="Calibri"/>
          <w:b/>
          <w:bCs/>
          <w:sz w:val="22"/>
          <w:szCs w:val="22"/>
          <w:lang w:val="fr-CA"/>
        </w:rPr>
        <w:t>NNFL</w:t>
      </w:r>
      <w:r w:rsidRPr="00D61874">
        <w:rPr>
          <w:rFonts w:ascii="Calibri" w:hAnsi="Calibri" w:cs="Calibri"/>
          <w:b/>
          <w:bCs/>
          <w:sz w:val="22"/>
          <w:szCs w:val="22"/>
          <w:lang w:val="fr-CA"/>
        </w:rPr>
        <w:t xml:space="preserve"> et 2 % de l'OTAN</w:t>
      </w:r>
    </w:p>
    <w:p w14:paraId="54E7E9E5" w14:textId="77777777" w:rsidR="00D61874" w:rsidRPr="00D61874" w:rsidRDefault="00D61874" w:rsidP="00D61874">
      <w:pPr>
        <w:pStyle w:val="NormalWeb"/>
        <w:rPr>
          <w:rFonts w:asciiTheme="minorHAnsi" w:eastAsiaTheme="minorHAnsi" w:hAnsiTheme="minorHAnsi" w:cstheme="minorHAnsi"/>
          <w:sz w:val="22"/>
          <w:szCs w:val="22"/>
          <w:lang w:val="fr-CA" w:eastAsia="en-US"/>
        </w:rPr>
      </w:pPr>
      <w:r w:rsidRPr="00D61874">
        <w:rPr>
          <w:rFonts w:asciiTheme="minorHAnsi" w:eastAsiaTheme="minorHAnsi" w:hAnsiTheme="minorHAnsi" w:cstheme="minorHAnsi"/>
          <w:sz w:val="22"/>
          <w:szCs w:val="22"/>
          <w:lang w:val="fr-CA" w:eastAsia="en-US"/>
        </w:rPr>
        <w:t>Aperçu PowerPoint -</w:t>
      </w:r>
    </w:p>
    <w:p w14:paraId="6004D20D" w14:textId="140FBFD5" w:rsidR="00D61874" w:rsidRPr="00D61874" w:rsidRDefault="00D61874" w:rsidP="00D61874">
      <w:pPr>
        <w:pStyle w:val="NormalWeb"/>
        <w:rPr>
          <w:rFonts w:asciiTheme="minorHAnsi" w:eastAsiaTheme="minorHAnsi" w:hAnsiTheme="minorHAnsi" w:cstheme="minorHAnsi"/>
          <w:sz w:val="22"/>
          <w:szCs w:val="22"/>
          <w:lang w:val="fr-CA" w:eastAsia="en-US"/>
        </w:rPr>
      </w:pPr>
      <w:r w:rsidRPr="00D61874">
        <w:rPr>
          <w:rFonts w:asciiTheme="minorHAnsi" w:eastAsiaTheme="minorHAnsi" w:hAnsiTheme="minorHAnsi" w:cstheme="minorHAnsi"/>
          <w:sz w:val="22"/>
          <w:szCs w:val="22"/>
          <w:lang w:val="fr-CA" w:eastAsia="en-US"/>
        </w:rPr>
        <w:t xml:space="preserve">• </w:t>
      </w:r>
      <w:r>
        <w:rPr>
          <w:rFonts w:asciiTheme="minorHAnsi" w:eastAsiaTheme="minorHAnsi" w:hAnsiTheme="minorHAnsi" w:cstheme="minorHAnsi"/>
          <w:sz w:val="22"/>
          <w:szCs w:val="22"/>
          <w:lang w:val="fr-CA" w:eastAsia="en-US"/>
        </w:rPr>
        <w:t>NNFL</w:t>
      </w:r>
      <w:r w:rsidRPr="00D61874">
        <w:rPr>
          <w:rFonts w:asciiTheme="minorHAnsi" w:eastAsiaTheme="minorHAnsi" w:hAnsiTheme="minorHAnsi" w:cstheme="minorHAnsi"/>
          <w:sz w:val="22"/>
          <w:szCs w:val="22"/>
          <w:lang w:val="fr-CA" w:eastAsia="en-US"/>
        </w:rPr>
        <w:t xml:space="preserve"> – Entretien et renouvellement des infrastructures (diapositive 3)</w:t>
      </w:r>
    </w:p>
    <w:p w14:paraId="33FB3116" w14:textId="77777777" w:rsidR="00D61874" w:rsidRPr="00D61874" w:rsidRDefault="00D61874" w:rsidP="00D61874">
      <w:pPr>
        <w:pStyle w:val="NormalWeb"/>
        <w:rPr>
          <w:rFonts w:asciiTheme="minorHAnsi" w:eastAsiaTheme="minorHAnsi" w:hAnsiTheme="minorHAnsi" w:cstheme="minorHAnsi"/>
          <w:sz w:val="22"/>
          <w:szCs w:val="22"/>
          <w:lang w:val="fr-CA" w:eastAsia="en-US"/>
        </w:rPr>
      </w:pPr>
      <w:r w:rsidRPr="00D61874">
        <w:rPr>
          <w:rFonts w:asciiTheme="minorHAnsi" w:eastAsiaTheme="minorHAnsi" w:hAnsiTheme="minorHAnsi" w:cstheme="minorHAnsi"/>
          <w:sz w:val="22"/>
          <w:szCs w:val="22"/>
          <w:lang w:val="fr-CA" w:eastAsia="en-US"/>
        </w:rPr>
        <w:t>• Nouvel investissement dans la défense – 2 % de l'OTAN (diapositives 4 à 9)</w:t>
      </w:r>
    </w:p>
    <w:p w14:paraId="4696F634" w14:textId="77777777" w:rsidR="00D61874" w:rsidRPr="00D61874" w:rsidRDefault="00D61874" w:rsidP="00D61874">
      <w:pPr>
        <w:pStyle w:val="NormalWeb"/>
        <w:rPr>
          <w:rFonts w:asciiTheme="minorHAnsi" w:eastAsiaTheme="minorHAnsi" w:hAnsiTheme="minorHAnsi" w:cstheme="minorHAnsi"/>
          <w:sz w:val="22"/>
          <w:szCs w:val="22"/>
          <w:lang w:val="fr-CA" w:eastAsia="en-US"/>
        </w:rPr>
      </w:pPr>
      <w:r w:rsidRPr="00D61874">
        <w:rPr>
          <w:rFonts w:asciiTheme="minorHAnsi" w:eastAsiaTheme="minorHAnsi" w:hAnsiTheme="minorHAnsi" w:cstheme="minorHAnsi"/>
          <w:sz w:val="22"/>
          <w:szCs w:val="22"/>
          <w:lang w:val="fr-CA" w:eastAsia="en-US"/>
        </w:rPr>
        <w:t>• Résumé (diapositives 10 et 11)</w:t>
      </w:r>
    </w:p>
    <w:p w14:paraId="2870013C" w14:textId="77777777" w:rsidR="00D61874" w:rsidRPr="00D61874" w:rsidRDefault="00D61874" w:rsidP="00D61874">
      <w:pPr>
        <w:pStyle w:val="NormalWeb"/>
        <w:rPr>
          <w:rFonts w:asciiTheme="minorHAnsi" w:eastAsiaTheme="minorHAnsi" w:hAnsiTheme="minorHAnsi" w:cstheme="minorHAnsi"/>
          <w:sz w:val="22"/>
          <w:szCs w:val="22"/>
          <w:lang w:val="fr-CA" w:eastAsia="en-US"/>
        </w:rPr>
      </w:pPr>
      <w:r w:rsidRPr="00D61874">
        <w:rPr>
          <w:rFonts w:asciiTheme="minorHAnsi" w:eastAsiaTheme="minorHAnsi" w:hAnsiTheme="minorHAnsi" w:cstheme="minorHAnsi"/>
          <w:sz w:val="22"/>
          <w:szCs w:val="22"/>
          <w:lang w:val="fr-CA" w:eastAsia="en-US"/>
        </w:rPr>
        <w:t>• Groupe des opérations des FCR – Croissance des ETP (transfert)</w:t>
      </w:r>
    </w:p>
    <w:p w14:paraId="5ACF7AE2" w14:textId="44E5BB80" w:rsidR="00D61874" w:rsidRPr="00D61874" w:rsidRDefault="00D61874" w:rsidP="00D61874">
      <w:pPr>
        <w:pStyle w:val="NormalWeb"/>
        <w:rPr>
          <w:rFonts w:ascii="Calibri" w:hAnsi="Calibri" w:cs="Calibri"/>
          <w:sz w:val="22"/>
          <w:szCs w:val="22"/>
          <w:lang w:val="fr-CA"/>
        </w:rPr>
      </w:pPr>
      <w:r>
        <w:rPr>
          <w:rFonts w:ascii="Calibri" w:hAnsi="Calibri" w:cs="Calibri"/>
          <w:b/>
          <w:bCs/>
          <w:sz w:val="22"/>
          <w:szCs w:val="22"/>
          <w:lang w:val="fr-CA"/>
        </w:rPr>
        <w:t>SMA</w:t>
      </w:r>
      <w:r w:rsidRPr="00D61874">
        <w:rPr>
          <w:rFonts w:ascii="Calibri" w:hAnsi="Calibri" w:cs="Calibri"/>
          <w:b/>
          <w:bCs/>
          <w:sz w:val="22"/>
          <w:szCs w:val="22"/>
          <w:lang w:val="fr-CA"/>
        </w:rPr>
        <w:t xml:space="preserve">(IE) Profil des ETP sur 7 ans </w:t>
      </w:r>
      <w:r w:rsidRPr="00D61874">
        <w:rPr>
          <w:rFonts w:ascii="Calibri" w:hAnsi="Calibri" w:cs="Calibri"/>
          <w:sz w:val="22"/>
          <w:szCs w:val="22"/>
          <w:lang w:val="fr-CA"/>
        </w:rPr>
        <w:t>(diapositive 11)</w:t>
      </w:r>
    </w:p>
    <w:p w14:paraId="64AA1D45" w14:textId="77777777" w:rsidR="00D61874" w:rsidRPr="00D61874" w:rsidRDefault="00D61874" w:rsidP="00D61874">
      <w:pPr>
        <w:pStyle w:val="NormalWeb"/>
        <w:rPr>
          <w:rFonts w:ascii="Calibri" w:hAnsi="Calibri" w:cs="Calibri"/>
          <w:sz w:val="22"/>
          <w:szCs w:val="22"/>
          <w:lang w:val="fr-CA"/>
        </w:rPr>
      </w:pPr>
      <w:r w:rsidRPr="00D61874">
        <w:rPr>
          <w:rFonts w:ascii="Calibri" w:hAnsi="Calibri" w:cs="Calibri"/>
          <w:sz w:val="22"/>
          <w:szCs w:val="22"/>
          <w:lang w:val="fr-CA"/>
        </w:rPr>
        <w:t>Aperçu :</w:t>
      </w:r>
    </w:p>
    <w:p w14:paraId="6D31D2DB" w14:textId="0A9652AD" w:rsidR="00D61874" w:rsidRPr="00D61874" w:rsidRDefault="00D61874" w:rsidP="00D61874">
      <w:pPr>
        <w:pStyle w:val="NormalWeb"/>
        <w:rPr>
          <w:rFonts w:ascii="Calibri" w:hAnsi="Calibri" w:cs="Calibri"/>
          <w:sz w:val="22"/>
          <w:szCs w:val="22"/>
          <w:lang w:val="fr-CA"/>
        </w:rPr>
      </w:pPr>
      <w:r w:rsidRPr="00D61874">
        <w:rPr>
          <w:rFonts w:ascii="Calibri" w:hAnsi="Calibri" w:cs="Calibri"/>
          <w:sz w:val="22"/>
          <w:szCs w:val="22"/>
          <w:lang w:val="fr-CA"/>
        </w:rPr>
        <w:t>• En s'appuyant sur l'effectif actuel d</w:t>
      </w:r>
      <w:r>
        <w:rPr>
          <w:rFonts w:ascii="Calibri" w:hAnsi="Calibri" w:cs="Calibri"/>
          <w:sz w:val="22"/>
          <w:szCs w:val="22"/>
          <w:lang w:val="fr-CA"/>
        </w:rPr>
        <w:t>u SMA</w:t>
      </w:r>
      <w:r w:rsidRPr="00D61874">
        <w:rPr>
          <w:rFonts w:ascii="Calibri" w:hAnsi="Calibri" w:cs="Calibri"/>
          <w:sz w:val="22"/>
          <w:szCs w:val="22"/>
          <w:lang w:val="fr-CA"/>
        </w:rPr>
        <w:t>(IE), qui compte 3 228 employés, ces nouveaux ETP contribueront à stabiliser et à maintenir le portefeuille immobilier du MDN.</w:t>
      </w:r>
    </w:p>
    <w:p w14:paraId="2B72FFE4" w14:textId="269809D5" w:rsidR="00D61874" w:rsidRPr="00D61874" w:rsidRDefault="00D61874" w:rsidP="00D61874">
      <w:pPr>
        <w:pStyle w:val="NormalWeb"/>
        <w:rPr>
          <w:rFonts w:ascii="Calibri" w:hAnsi="Calibri" w:cs="Calibri"/>
          <w:sz w:val="22"/>
          <w:szCs w:val="22"/>
          <w:lang w:val="fr-CA"/>
        </w:rPr>
      </w:pPr>
      <w:r w:rsidRPr="00D61874">
        <w:rPr>
          <w:rFonts w:ascii="Calibri" w:hAnsi="Calibri" w:cs="Calibri"/>
          <w:sz w:val="22"/>
          <w:szCs w:val="22"/>
          <w:lang w:val="fr-CA"/>
        </w:rPr>
        <w:t>• L</w:t>
      </w:r>
      <w:r>
        <w:rPr>
          <w:rFonts w:ascii="Calibri" w:hAnsi="Calibri" w:cs="Calibri"/>
          <w:sz w:val="22"/>
          <w:szCs w:val="22"/>
          <w:lang w:val="fr-CA"/>
        </w:rPr>
        <w:t>e SMA</w:t>
      </w:r>
      <w:r w:rsidRPr="00D61874">
        <w:rPr>
          <w:rFonts w:ascii="Calibri" w:hAnsi="Calibri" w:cs="Calibri"/>
          <w:sz w:val="22"/>
          <w:szCs w:val="22"/>
          <w:lang w:val="fr-CA"/>
        </w:rPr>
        <w:t>(IE) continuera de rechercher des fonds et des ressources supplémentaires, au besoin, pour soutenir son effectif à mesure que les FAC s'agrandissent et que nous nous efforçons d'améliorer le portefeuille immobilier du MDN.</w:t>
      </w:r>
    </w:p>
    <w:p w14:paraId="5FC127EA" w14:textId="45B7A44F" w:rsidR="00DC2E7B" w:rsidRPr="00D61874" w:rsidRDefault="00D61874" w:rsidP="00D61874">
      <w:pPr>
        <w:pStyle w:val="NormalWeb"/>
        <w:rPr>
          <w:rFonts w:ascii="Calibri" w:hAnsi="Calibri" w:cs="Calibri"/>
          <w:sz w:val="22"/>
          <w:szCs w:val="22"/>
          <w:lang w:val="fr-CA"/>
        </w:rPr>
      </w:pPr>
      <w:r w:rsidRPr="00D61874">
        <w:rPr>
          <w:rFonts w:ascii="Calibri" w:hAnsi="Calibri" w:cs="Calibri"/>
          <w:sz w:val="22"/>
          <w:szCs w:val="22"/>
          <w:lang w:val="fr-CA"/>
        </w:rPr>
        <w:t>• Afin de remédier au sous-financement historique des opérations, 1 356 des 1 837 nouveaux ETP seront affectés au groupe des opérations des RP des FC.</w:t>
      </w:r>
    </w:p>
    <w:p w14:paraId="23ADA0C7" w14:textId="77777777" w:rsidR="00D61874" w:rsidRPr="00D61874" w:rsidRDefault="00D61874" w:rsidP="00DC2E7B">
      <w:pPr>
        <w:autoSpaceDE w:val="0"/>
        <w:autoSpaceDN w:val="0"/>
        <w:adjustRightInd w:val="0"/>
        <w:ind w:left="720"/>
        <w:rPr>
          <w:rFonts w:asciiTheme="minorHAnsi" w:hAnsiTheme="minorHAnsi" w:cstheme="minorHAnsi"/>
          <w:sz w:val="22"/>
          <w:lang w:val="fr-CA"/>
        </w:rPr>
      </w:pPr>
    </w:p>
    <w:p w14:paraId="5C152501" w14:textId="71E5CB6A" w:rsidR="00D61874" w:rsidRPr="00D61874" w:rsidRDefault="00D61874" w:rsidP="00D61874">
      <w:pPr>
        <w:autoSpaceDE w:val="0"/>
        <w:autoSpaceDN w:val="0"/>
        <w:adjustRightInd w:val="0"/>
        <w:rPr>
          <w:rFonts w:asciiTheme="minorHAnsi" w:hAnsiTheme="minorHAnsi" w:cstheme="minorHAnsi"/>
          <w:sz w:val="22"/>
          <w:lang w:val="fr-CA"/>
        </w:rPr>
      </w:pPr>
      <w:r>
        <w:rPr>
          <w:rFonts w:asciiTheme="minorHAnsi" w:hAnsiTheme="minorHAnsi" w:cstheme="minorHAnsi"/>
          <w:sz w:val="22"/>
          <w:lang w:val="fr-CA"/>
        </w:rPr>
        <w:t>(</w:t>
      </w:r>
      <w:r w:rsidRPr="00D61874">
        <w:rPr>
          <w:rFonts w:asciiTheme="minorHAnsi" w:hAnsiTheme="minorHAnsi" w:cstheme="minorHAnsi"/>
          <w:b/>
          <w:bCs/>
          <w:i/>
          <w:iCs/>
          <w:sz w:val="22"/>
          <w:lang w:val="fr-CA"/>
        </w:rPr>
        <w:t>tableau disponible seulement en anglais</w:t>
      </w:r>
      <w:r>
        <w:rPr>
          <w:rFonts w:asciiTheme="minorHAnsi" w:hAnsiTheme="minorHAnsi" w:cstheme="minorHAnsi"/>
          <w:sz w:val="22"/>
          <w:lang w:val="fr-CA"/>
        </w:rPr>
        <w:t>)</w:t>
      </w:r>
    </w:p>
    <w:p w14:paraId="014749F0" w14:textId="2F5F2721" w:rsidR="00E93FF4" w:rsidRPr="00E93FF4" w:rsidRDefault="00611F98" w:rsidP="00E93FF4">
      <w:pPr>
        <w:autoSpaceDE w:val="0"/>
        <w:autoSpaceDN w:val="0"/>
        <w:adjustRightInd w:val="0"/>
        <w:rPr>
          <w:rFonts w:asciiTheme="minorHAnsi" w:hAnsiTheme="minorHAnsi" w:cstheme="minorHAnsi"/>
          <w:color w:val="000000"/>
          <w:sz w:val="22"/>
          <w:lang w:val="en-CA"/>
        </w:rPr>
      </w:pPr>
      <w:r>
        <w:rPr>
          <w:rFonts w:asciiTheme="minorHAnsi" w:hAnsiTheme="minorHAnsi" w:cstheme="minorHAnsi"/>
          <w:noProof/>
          <w:color w:val="000000"/>
          <w:sz w:val="22"/>
          <w:lang w:val="en-CA"/>
        </w:rPr>
        <w:drawing>
          <wp:inline distT="0" distB="0" distL="0" distR="0" wp14:anchorId="3A9C4455" wp14:editId="3681F064">
            <wp:extent cx="5880100" cy="1570558"/>
            <wp:effectExtent l="0" t="0" r="6350" b="0"/>
            <wp:docPr id="1767636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0177" cy="1581262"/>
                    </a:xfrm>
                    <a:prstGeom prst="rect">
                      <a:avLst/>
                    </a:prstGeom>
                    <a:noFill/>
                  </pic:spPr>
                </pic:pic>
              </a:graphicData>
            </a:graphic>
          </wp:inline>
        </w:drawing>
      </w:r>
    </w:p>
    <w:p w14:paraId="1F458D1B"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ETP supplémentaires réservés (2026-2027 et au-delà), en attendant la décision finale du Conseil du Trésor.</w:t>
      </w:r>
    </w:p>
    <w:p w14:paraId="4A42FF2D"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Remarque : En outre, non mentionné ici :</w:t>
      </w:r>
    </w:p>
    <w:p w14:paraId="07444E4C" w14:textId="0AEBCC39"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xml:space="preserve">- 10 millions de dollars en </w:t>
      </w:r>
      <w:r>
        <w:rPr>
          <w:rFonts w:asciiTheme="minorHAnsi" w:eastAsia="Times New Roman" w:hAnsiTheme="minorHAnsi" w:cstheme="minorHAnsi"/>
          <w:sz w:val="22"/>
          <w:lang w:val="fr-CA" w:eastAsia="en-CA"/>
        </w:rPr>
        <w:t>ETS</w:t>
      </w:r>
      <w:r w:rsidRPr="00D61874">
        <w:rPr>
          <w:rFonts w:asciiTheme="minorHAnsi" w:eastAsia="Times New Roman" w:hAnsiTheme="minorHAnsi" w:cstheme="minorHAnsi"/>
          <w:sz w:val="22"/>
          <w:lang w:val="fr-CA" w:eastAsia="en-CA"/>
        </w:rPr>
        <w:t xml:space="preserve"> obtenus par l'intermédiaire du Comité de gestion des investissements et des ressources (CGIR) du MDN pour combler les pénuries de personnel du Groupe des opérations de la FC </w:t>
      </w:r>
      <w:r>
        <w:rPr>
          <w:rFonts w:asciiTheme="minorHAnsi" w:eastAsia="Times New Roman" w:hAnsiTheme="minorHAnsi" w:cstheme="minorHAnsi"/>
          <w:sz w:val="22"/>
          <w:lang w:val="fr-CA" w:eastAsia="en-CA"/>
        </w:rPr>
        <w:t>UOI</w:t>
      </w:r>
      <w:r w:rsidRPr="00D61874">
        <w:rPr>
          <w:rFonts w:asciiTheme="minorHAnsi" w:eastAsia="Times New Roman" w:hAnsiTheme="minorHAnsi" w:cstheme="minorHAnsi"/>
          <w:sz w:val="22"/>
          <w:lang w:val="fr-CA" w:eastAsia="en-CA"/>
        </w:rPr>
        <w:t>.</w:t>
      </w:r>
    </w:p>
    <w:p w14:paraId="627C7121" w14:textId="4210BB32"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Financement de la modernisation du NORAD, qui comprend des projets parrainés par d'autres L1 et soutenus par l</w:t>
      </w:r>
      <w:r>
        <w:rPr>
          <w:rFonts w:asciiTheme="minorHAnsi" w:eastAsia="Times New Roman" w:hAnsiTheme="minorHAnsi" w:cstheme="minorHAnsi"/>
          <w:sz w:val="22"/>
          <w:lang w:val="fr-CA" w:eastAsia="en-CA"/>
        </w:rPr>
        <w:t>e SMA</w:t>
      </w:r>
      <w:r w:rsidRPr="00D61874">
        <w:rPr>
          <w:rFonts w:asciiTheme="minorHAnsi" w:eastAsia="Times New Roman" w:hAnsiTheme="minorHAnsi" w:cstheme="minorHAnsi"/>
          <w:sz w:val="22"/>
          <w:lang w:val="fr-CA" w:eastAsia="en-CA"/>
        </w:rPr>
        <w:t>(IE) ~198 ETP.</w:t>
      </w:r>
    </w:p>
    <w:p w14:paraId="5B0CEFAE"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p>
    <w:p w14:paraId="1A53C73F"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b/>
          <w:bCs/>
          <w:sz w:val="22"/>
          <w:lang w:val="fr-CA" w:eastAsia="en-CA"/>
        </w:rPr>
        <w:t>Voir le PowerPoint sur les ressources – Exposé sur le Groupe des opérations de la Force de projection des FC</w:t>
      </w:r>
    </w:p>
    <w:p w14:paraId="1B0F77FB"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Diapositive 3 – Le soutien et la reconnaissance de la haute direction, ainsi que le financement supplémentaire, représentent une occasion unique de reconstruire le Groupe des opérations de la Force de projection des FC pour en faire une organisation moderne, durable et axée sur la mission. Cependant, le succès dépendra :</w:t>
      </w:r>
    </w:p>
    <w:p w14:paraId="3B7AA596"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d'un séquençage réfléchi de la croissance et de la réforme ;</w:t>
      </w:r>
    </w:p>
    <w:p w14:paraId="6B2F3751"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de mécanismes solides de gouvernance et de responsabilisation ; et</w:t>
      </w:r>
    </w:p>
    <w:p w14:paraId="0D6A17BD"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d'un engagement et d'une communication soutenus avec le personnel et les partenaires de la Défense.</w:t>
      </w:r>
    </w:p>
    <w:p w14:paraId="3A1D6422"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p>
    <w:p w14:paraId="14974837"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b/>
          <w:bCs/>
          <w:sz w:val="22"/>
          <w:lang w:val="fr-CA" w:eastAsia="en-CA"/>
        </w:rPr>
        <w:t>Équipe Évolution Mise à jour Col Fortin Courriel -</w:t>
      </w:r>
      <w:r w:rsidRPr="00D61874">
        <w:rPr>
          <w:rFonts w:asciiTheme="minorHAnsi" w:eastAsia="Times New Roman" w:hAnsiTheme="minorHAnsi" w:cstheme="minorHAnsi"/>
          <w:sz w:val="22"/>
          <w:lang w:val="fr-CA" w:eastAsia="en-CA"/>
        </w:rPr>
        <w:t xml:space="preserve"> Nouveau chapitre dans la modernisation du groupe des opérations des FC RP. Le travail de base de l'équipe Évolution étant maintenant terminé et la nouvelle structure du QG étant en place, la responsabilité de la modernisation sera désormais pleinement intégrée à notre structure de base de </w:t>
      </w:r>
      <w:r w:rsidRPr="00D61874">
        <w:rPr>
          <w:rFonts w:asciiTheme="minorHAnsi" w:eastAsia="Times New Roman" w:hAnsiTheme="minorHAnsi" w:cstheme="minorHAnsi"/>
          <w:b/>
          <w:bCs/>
          <w:sz w:val="22"/>
          <w:lang w:val="fr-CA" w:eastAsia="en-CA"/>
        </w:rPr>
        <w:t>gestion et d'intégration des programmes, des opérations et du soutien.</w:t>
      </w:r>
    </w:p>
    <w:p w14:paraId="0ABA33FC"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xml:space="preserve">Compte tenu de l'augmentation du financement et de la dynamique croissante, la modernisation sera menée de l'intérieur et intégrée à nos efforts quotidiens pour améliorer la façon dont nous servons l'organisation. </w:t>
      </w:r>
    </w:p>
    <w:p w14:paraId="6B675808"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b/>
          <w:bCs/>
          <w:sz w:val="22"/>
          <w:lang w:val="fr-CA" w:eastAsia="en-CA"/>
        </w:rPr>
        <w:t>1. Transition de l'équipe Évolution</w:t>
      </w:r>
    </w:p>
    <w:p w14:paraId="76A90AA9"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À compter du 1er octobre 2025, l'équipe Évolution est passée à un nouveau modèle opérationnel. Son travail a été déterminant pour nous amener à ce stade et sera désormais poursuivi par l'ensemble du QG.</w:t>
      </w:r>
    </w:p>
    <w:p w14:paraId="4E0AFAFE"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b/>
          <w:bCs/>
          <w:sz w:val="22"/>
          <w:lang w:val="fr-CA" w:eastAsia="en-CA"/>
        </w:rPr>
        <w:t>2. Rétrospective</w:t>
      </w:r>
    </w:p>
    <w:p w14:paraId="164BB705" w14:textId="31BBE52E"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xml:space="preserve">Au cours des deux dernières années, l'équipe </w:t>
      </w:r>
      <w:r>
        <w:rPr>
          <w:rFonts w:asciiTheme="minorHAnsi" w:eastAsia="Times New Roman" w:hAnsiTheme="minorHAnsi" w:cstheme="minorHAnsi"/>
          <w:sz w:val="22"/>
          <w:lang w:val="fr-CA" w:eastAsia="en-CA"/>
        </w:rPr>
        <w:t>É</w:t>
      </w:r>
      <w:r w:rsidRPr="00D61874">
        <w:rPr>
          <w:rFonts w:asciiTheme="minorHAnsi" w:eastAsia="Times New Roman" w:hAnsiTheme="minorHAnsi" w:cstheme="minorHAnsi"/>
          <w:sz w:val="22"/>
          <w:lang w:val="fr-CA" w:eastAsia="en-CA"/>
        </w:rPr>
        <w:t>volution a mené diverses consultations avec les parties prenantes et a produit :</w:t>
      </w:r>
    </w:p>
    <w:p w14:paraId="71B8FF00" w14:textId="77777777" w:rsidR="00D61874" w:rsidRPr="00D61874" w:rsidRDefault="00D61874" w:rsidP="00D61874">
      <w:pPr>
        <w:numPr>
          <w:ilvl w:val="0"/>
          <w:numId w:val="21"/>
        </w:numPr>
        <w:ind w:left="714" w:hanging="357"/>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Un modèle de prestation de services modernisé</w:t>
      </w:r>
    </w:p>
    <w:p w14:paraId="611B8814" w14:textId="77777777" w:rsidR="00D61874" w:rsidRPr="00D61874" w:rsidRDefault="00D61874" w:rsidP="00D61874">
      <w:pPr>
        <w:numPr>
          <w:ilvl w:val="0"/>
          <w:numId w:val="22"/>
        </w:numPr>
        <w:ind w:left="714" w:hanging="357"/>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Un tableau de bord d'évaluation de l'état actuel</w:t>
      </w:r>
    </w:p>
    <w:p w14:paraId="78404273" w14:textId="77777777" w:rsidR="00D61874" w:rsidRPr="00D61874" w:rsidRDefault="00D61874" w:rsidP="00D61874">
      <w:pPr>
        <w:numPr>
          <w:ilvl w:val="0"/>
          <w:numId w:val="23"/>
        </w:numPr>
        <w:ind w:left="714" w:hanging="357"/>
        <w:rPr>
          <w:rFonts w:asciiTheme="minorHAnsi" w:eastAsia="Times New Roman" w:hAnsiTheme="minorHAnsi" w:cstheme="minorHAnsi"/>
          <w:sz w:val="22"/>
          <w:lang w:val="en-CA" w:eastAsia="en-CA"/>
        </w:rPr>
      </w:pPr>
      <w:r w:rsidRPr="00D61874">
        <w:rPr>
          <w:rFonts w:asciiTheme="minorHAnsi" w:eastAsia="Times New Roman" w:hAnsiTheme="minorHAnsi" w:cstheme="minorHAnsi"/>
          <w:sz w:val="22"/>
          <w:lang w:val="en-CA" w:eastAsia="en-CA"/>
        </w:rPr>
        <w:t xml:space="preserve">Un rapport </w:t>
      </w:r>
      <w:proofErr w:type="spellStart"/>
      <w:r w:rsidRPr="00D61874">
        <w:rPr>
          <w:rFonts w:asciiTheme="minorHAnsi" w:eastAsia="Times New Roman" w:hAnsiTheme="minorHAnsi" w:cstheme="minorHAnsi"/>
          <w:sz w:val="22"/>
          <w:lang w:val="en-CA" w:eastAsia="en-CA"/>
        </w:rPr>
        <w:t>d'analyse</w:t>
      </w:r>
      <w:proofErr w:type="spellEnd"/>
      <w:r w:rsidRPr="00D61874">
        <w:rPr>
          <w:rFonts w:asciiTheme="minorHAnsi" w:eastAsia="Times New Roman" w:hAnsiTheme="minorHAnsi" w:cstheme="minorHAnsi"/>
          <w:sz w:val="22"/>
          <w:lang w:val="en-CA" w:eastAsia="en-CA"/>
        </w:rPr>
        <w:t xml:space="preserve"> </w:t>
      </w:r>
      <w:proofErr w:type="spellStart"/>
      <w:r w:rsidRPr="00D61874">
        <w:rPr>
          <w:rFonts w:asciiTheme="minorHAnsi" w:eastAsia="Times New Roman" w:hAnsiTheme="minorHAnsi" w:cstheme="minorHAnsi"/>
          <w:sz w:val="22"/>
          <w:lang w:val="en-CA" w:eastAsia="en-CA"/>
        </w:rPr>
        <w:t>culturelle</w:t>
      </w:r>
      <w:proofErr w:type="spellEnd"/>
    </w:p>
    <w:p w14:paraId="54423827" w14:textId="77777777" w:rsidR="00D61874" w:rsidRPr="00D61874" w:rsidRDefault="00D61874" w:rsidP="00D61874">
      <w:pPr>
        <w:numPr>
          <w:ilvl w:val="0"/>
          <w:numId w:val="23"/>
        </w:numPr>
        <w:ind w:left="714" w:hanging="357"/>
        <w:rPr>
          <w:rFonts w:asciiTheme="minorHAnsi" w:eastAsia="Times New Roman" w:hAnsiTheme="minorHAnsi" w:cstheme="minorHAnsi"/>
          <w:sz w:val="22"/>
          <w:lang w:val="en-CA" w:eastAsia="en-CA"/>
        </w:rPr>
      </w:pPr>
      <w:r w:rsidRPr="00D61874">
        <w:rPr>
          <w:rFonts w:asciiTheme="minorHAnsi" w:eastAsia="Times New Roman" w:hAnsiTheme="minorHAnsi" w:cstheme="minorHAnsi"/>
          <w:sz w:val="22"/>
          <w:lang w:val="en-CA" w:eastAsia="en-CA"/>
        </w:rPr>
        <w:t xml:space="preserve">Notre plan </w:t>
      </w:r>
      <w:proofErr w:type="spellStart"/>
      <w:r w:rsidRPr="00D61874">
        <w:rPr>
          <w:rFonts w:asciiTheme="minorHAnsi" w:eastAsia="Times New Roman" w:hAnsiTheme="minorHAnsi" w:cstheme="minorHAnsi"/>
          <w:sz w:val="22"/>
          <w:lang w:val="en-CA" w:eastAsia="en-CA"/>
        </w:rPr>
        <w:t>d'évolution</w:t>
      </w:r>
      <w:proofErr w:type="spellEnd"/>
      <w:r w:rsidRPr="00D61874">
        <w:rPr>
          <w:rFonts w:asciiTheme="minorHAnsi" w:eastAsia="Times New Roman" w:hAnsiTheme="minorHAnsi" w:cstheme="minorHAnsi"/>
          <w:sz w:val="22"/>
          <w:lang w:val="en-CA" w:eastAsia="en-CA"/>
        </w:rPr>
        <w:t xml:space="preserve"> </w:t>
      </w:r>
      <w:proofErr w:type="spellStart"/>
      <w:r w:rsidRPr="00D61874">
        <w:rPr>
          <w:rFonts w:asciiTheme="minorHAnsi" w:eastAsia="Times New Roman" w:hAnsiTheme="minorHAnsi" w:cstheme="minorHAnsi"/>
          <w:sz w:val="22"/>
          <w:lang w:val="en-CA" w:eastAsia="en-CA"/>
        </w:rPr>
        <w:t>culturelle</w:t>
      </w:r>
      <w:proofErr w:type="spellEnd"/>
    </w:p>
    <w:p w14:paraId="0B710C1C" w14:textId="77777777" w:rsidR="00D61874" w:rsidRPr="00D61874" w:rsidRDefault="00D61874" w:rsidP="00D61874">
      <w:pPr>
        <w:numPr>
          <w:ilvl w:val="0"/>
          <w:numId w:val="24"/>
        </w:numPr>
        <w:ind w:left="714" w:hanging="357"/>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Diverses analyses, documents d'orientation et stratégies</w:t>
      </w:r>
    </w:p>
    <w:p w14:paraId="0AEA3CC8"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Ces outils constituent désormais le fondement de notre transformation et continueront à guider nos actions futures.</w:t>
      </w:r>
    </w:p>
    <w:p w14:paraId="572A7762"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b/>
          <w:bCs/>
          <w:sz w:val="22"/>
          <w:lang w:val="fr-CA" w:eastAsia="en-CA"/>
        </w:rPr>
        <w:t>3. Prochaines étapes</w:t>
      </w:r>
    </w:p>
    <w:p w14:paraId="1332C352"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Voici comment nous allons gérer la transition :</w:t>
      </w:r>
    </w:p>
    <w:p w14:paraId="1D7BD6AA" w14:textId="77777777" w:rsidR="00D61874" w:rsidRPr="00D61874" w:rsidRDefault="00D61874" w:rsidP="00D61874">
      <w:pPr>
        <w:numPr>
          <w:ilvl w:val="0"/>
          <w:numId w:val="25"/>
        </w:num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Les tâches de modernisation seront intégrées aux équipes de gestion de programme, d'opérations et de soutien.</w:t>
      </w:r>
    </w:p>
    <w:p w14:paraId="32E7023D" w14:textId="77777777" w:rsidR="00D61874" w:rsidRPr="00D61874" w:rsidRDefault="00D61874" w:rsidP="00D61874">
      <w:pPr>
        <w:numPr>
          <w:ilvl w:val="0"/>
          <w:numId w:val="26"/>
        </w:num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Deux postes déployables relevant du commandant adjoint resteront en place pour soutenir les projets spéciaux des trois équipes. Ils seront pourvus en fonction des besoins du projet, de manière temporaire et à partir du groupe des opérations des Forces canadiennes.</w:t>
      </w:r>
    </w:p>
    <w:p w14:paraId="634DA6C4" w14:textId="77777777" w:rsidR="00D61874" w:rsidRPr="00D61874" w:rsidRDefault="00D61874" w:rsidP="00D61874">
      <w:pPr>
        <w:numPr>
          <w:ilvl w:val="0"/>
          <w:numId w:val="27"/>
        </w:numPr>
        <w:spacing w:before="100" w:beforeAutospacing="1" w:after="100" w:afterAutospacing="1"/>
        <w:rPr>
          <w:rFonts w:asciiTheme="minorHAnsi" w:eastAsia="Times New Roman" w:hAnsiTheme="minorHAnsi" w:cstheme="minorHAnsi"/>
          <w:sz w:val="22"/>
          <w:lang w:val="en-CA" w:eastAsia="en-CA"/>
        </w:rPr>
      </w:pPr>
      <w:r w:rsidRPr="00D61874">
        <w:rPr>
          <w:rFonts w:asciiTheme="minorHAnsi" w:eastAsia="Times New Roman" w:hAnsiTheme="minorHAnsi" w:cstheme="minorHAnsi"/>
          <w:sz w:val="22"/>
          <w:lang w:val="fr-CA" w:eastAsia="en-CA"/>
        </w:rPr>
        <w:t xml:space="preserve">L'analyse fonctionnelle des RH se poursuivra de manière indépendante, afin de soutenir la planification et le développement de la main-d'œuvre. </w:t>
      </w:r>
      <w:r w:rsidRPr="00D61874">
        <w:rPr>
          <w:rFonts w:asciiTheme="minorHAnsi" w:eastAsia="Times New Roman" w:hAnsiTheme="minorHAnsi" w:cstheme="minorHAnsi"/>
          <w:sz w:val="22"/>
          <w:lang w:val="en-CA" w:eastAsia="en-CA"/>
        </w:rPr>
        <w:t xml:space="preserve">(Ordre </w:t>
      </w:r>
      <w:proofErr w:type="spellStart"/>
      <w:r w:rsidRPr="00D61874">
        <w:rPr>
          <w:rFonts w:asciiTheme="minorHAnsi" w:eastAsia="Times New Roman" w:hAnsiTheme="minorHAnsi" w:cstheme="minorHAnsi"/>
          <w:sz w:val="22"/>
          <w:lang w:val="en-CA" w:eastAsia="en-CA"/>
        </w:rPr>
        <w:t>d'opération</w:t>
      </w:r>
      <w:proofErr w:type="spellEnd"/>
      <w:r w:rsidRPr="00D61874">
        <w:rPr>
          <w:rFonts w:asciiTheme="minorHAnsi" w:eastAsia="Times New Roman" w:hAnsiTheme="minorHAnsi" w:cstheme="minorHAnsi"/>
          <w:sz w:val="22"/>
          <w:lang w:val="en-CA" w:eastAsia="en-CA"/>
        </w:rPr>
        <w:t xml:space="preserve"> à </w:t>
      </w:r>
      <w:proofErr w:type="spellStart"/>
      <w:r w:rsidRPr="00D61874">
        <w:rPr>
          <w:rFonts w:asciiTheme="minorHAnsi" w:eastAsia="Times New Roman" w:hAnsiTheme="minorHAnsi" w:cstheme="minorHAnsi"/>
          <w:sz w:val="22"/>
          <w:lang w:val="en-CA" w:eastAsia="en-CA"/>
        </w:rPr>
        <w:t>suivre</w:t>
      </w:r>
      <w:proofErr w:type="spellEnd"/>
      <w:r w:rsidRPr="00D61874">
        <w:rPr>
          <w:rFonts w:asciiTheme="minorHAnsi" w:eastAsia="Times New Roman" w:hAnsiTheme="minorHAnsi" w:cstheme="minorHAnsi"/>
          <w:sz w:val="22"/>
          <w:lang w:val="en-CA" w:eastAsia="en-CA"/>
        </w:rPr>
        <w:t>)</w:t>
      </w:r>
    </w:p>
    <w:p w14:paraId="3503876B"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en-CA" w:eastAsia="en-CA"/>
        </w:rPr>
      </w:pPr>
      <w:r w:rsidRPr="00D61874">
        <w:rPr>
          <w:rFonts w:asciiTheme="minorHAnsi" w:eastAsia="Times New Roman" w:hAnsiTheme="minorHAnsi" w:cstheme="minorHAnsi"/>
          <w:b/>
          <w:bCs/>
          <w:sz w:val="22"/>
          <w:lang w:val="en-CA" w:eastAsia="en-CA"/>
        </w:rPr>
        <w:t>4. Qui fait quoi</w:t>
      </w:r>
    </w:p>
    <w:p w14:paraId="636EE205"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en-CA" w:eastAsia="en-CA"/>
        </w:rPr>
      </w:pPr>
      <w:r w:rsidRPr="00D61874">
        <w:rPr>
          <w:rFonts w:asciiTheme="minorHAnsi" w:eastAsia="Times New Roman" w:hAnsiTheme="minorHAnsi" w:cstheme="minorHAnsi"/>
          <w:b/>
          <w:bCs/>
          <w:sz w:val="22"/>
          <w:lang w:val="en-CA" w:eastAsia="en-CA"/>
        </w:rPr>
        <w:t xml:space="preserve">Équipe </w:t>
      </w:r>
      <w:proofErr w:type="spellStart"/>
      <w:r w:rsidRPr="00D61874">
        <w:rPr>
          <w:rFonts w:asciiTheme="minorHAnsi" w:eastAsia="Times New Roman" w:hAnsiTheme="minorHAnsi" w:cstheme="minorHAnsi"/>
          <w:b/>
          <w:bCs/>
          <w:sz w:val="22"/>
          <w:lang w:val="en-CA" w:eastAsia="en-CA"/>
        </w:rPr>
        <w:t>d'évolution</w:t>
      </w:r>
      <w:proofErr w:type="spellEnd"/>
    </w:p>
    <w:p w14:paraId="2FE1C4F7" w14:textId="77777777" w:rsidR="00D61874" w:rsidRPr="00D61874" w:rsidRDefault="00D61874" w:rsidP="00D61874">
      <w:pPr>
        <w:numPr>
          <w:ilvl w:val="0"/>
          <w:numId w:val="28"/>
        </w:num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Finaliser la documentation et s'assurer que les dossiers sont à la disposition de l'équipe de commandement</w:t>
      </w:r>
    </w:p>
    <w:p w14:paraId="034E07D5" w14:textId="77777777" w:rsidR="00D61874" w:rsidRPr="00D61874" w:rsidRDefault="00D61874" w:rsidP="00D61874">
      <w:pPr>
        <w:numPr>
          <w:ilvl w:val="0"/>
          <w:numId w:val="29"/>
        </w:num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Informer le nouveau responsable de l'analyse fonctionnelle des RH, Alex Lemieux</w:t>
      </w:r>
    </w:p>
    <w:p w14:paraId="638F3085"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b/>
          <w:bCs/>
          <w:sz w:val="22"/>
          <w:lang w:val="fr-CA" w:eastAsia="en-CA"/>
        </w:rPr>
        <w:t>Équipe de commandement du groupe des opérations des FCR</w:t>
      </w:r>
    </w:p>
    <w:p w14:paraId="07455CBA" w14:textId="77777777" w:rsidR="00D61874" w:rsidRPr="00D61874" w:rsidRDefault="00D61874" w:rsidP="00D61874">
      <w:pPr>
        <w:numPr>
          <w:ilvl w:val="0"/>
          <w:numId w:val="30"/>
        </w:num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Archiver les résultats pour une utilisation future</w:t>
      </w:r>
    </w:p>
    <w:p w14:paraId="0B030019" w14:textId="77777777" w:rsidR="00D61874" w:rsidRPr="00D61874" w:rsidRDefault="00D61874" w:rsidP="00D61874">
      <w:pPr>
        <w:numPr>
          <w:ilvl w:val="0"/>
          <w:numId w:val="31"/>
        </w:numPr>
        <w:spacing w:before="100" w:beforeAutospacing="1" w:after="100" w:afterAutospacing="1"/>
        <w:rPr>
          <w:rFonts w:asciiTheme="minorHAnsi" w:eastAsia="Times New Roman" w:hAnsiTheme="minorHAnsi" w:cstheme="minorHAnsi"/>
          <w:sz w:val="22"/>
          <w:lang w:val="en-CA" w:eastAsia="en-CA"/>
        </w:rPr>
      </w:pPr>
      <w:proofErr w:type="spellStart"/>
      <w:r w:rsidRPr="00D61874">
        <w:rPr>
          <w:rFonts w:asciiTheme="minorHAnsi" w:eastAsia="Times New Roman" w:hAnsiTheme="minorHAnsi" w:cstheme="minorHAnsi"/>
          <w:sz w:val="22"/>
          <w:lang w:val="en-CA" w:eastAsia="en-CA"/>
        </w:rPr>
        <w:t>Gérer</w:t>
      </w:r>
      <w:proofErr w:type="spellEnd"/>
      <w:r w:rsidRPr="00D61874">
        <w:rPr>
          <w:rFonts w:asciiTheme="minorHAnsi" w:eastAsia="Times New Roman" w:hAnsiTheme="minorHAnsi" w:cstheme="minorHAnsi"/>
          <w:sz w:val="22"/>
          <w:lang w:val="en-CA" w:eastAsia="en-CA"/>
        </w:rPr>
        <w:t xml:space="preserve"> les deux </w:t>
      </w:r>
      <w:proofErr w:type="spellStart"/>
      <w:r w:rsidRPr="00D61874">
        <w:rPr>
          <w:rFonts w:asciiTheme="minorHAnsi" w:eastAsia="Times New Roman" w:hAnsiTheme="minorHAnsi" w:cstheme="minorHAnsi"/>
          <w:sz w:val="22"/>
          <w:lang w:val="en-CA" w:eastAsia="en-CA"/>
        </w:rPr>
        <w:t>postes</w:t>
      </w:r>
      <w:proofErr w:type="spellEnd"/>
      <w:r w:rsidRPr="00D61874">
        <w:rPr>
          <w:rFonts w:asciiTheme="minorHAnsi" w:eastAsia="Times New Roman" w:hAnsiTheme="minorHAnsi" w:cstheme="minorHAnsi"/>
          <w:sz w:val="22"/>
          <w:lang w:val="en-CA" w:eastAsia="en-CA"/>
        </w:rPr>
        <w:t xml:space="preserve"> </w:t>
      </w:r>
      <w:proofErr w:type="spellStart"/>
      <w:r w:rsidRPr="00D61874">
        <w:rPr>
          <w:rFonts w:asciiTheme="minorHAnsi" w:eastAsia="Times New Roman" w:hAnsiTheme="minorHAnsi" w:cstheme="minorHAnsi"/>
          <w:sz w:val="22"/>
          <w:lang w:val="en-CA" w:eastAsia="en-CA"/>
        </w:rPr>
        <w:t>déployables</w:t>
      </w:r>
      <w:proofErr w:type="spellEnd"/>
    </w:p>
    <w:p w14:paraId="0D277F39" w14:textId="77777777" w:rsidR="00D61874" w:rsidRPr="00D61874" w:rsidRDefault="00D61874" w:rsidP="00D61874">
      <w:pPr>
        <w:numPr>
          <w:ilvl w:val="0"/>
          <w:numId w:val="32"/>
        </w:numPr>
        <w:spacing w:before="100" w:beforeAutospacing="1" w:after="100" w:afterAutospacing="1"/>
        <w:rPr>
          <w:rFonts w:asciiTheme="minorHAnsi" w:eastAsia="Times New Roman" w:hAnsiTheme="minorHAnsi" w:cstheme="minorHAnsi"/>
          <w:sz w:val="22"/>
          <w:lang w:val="en-CA" w:eastAsia="en-CA"/>
        </w:rPr>
      </w:pPr>
      <w:proofErr w:type="spellStart"/>
      <w:r w:rsidRPr="00D61874">
        <w:rPr>
          <w:rFonts w:asciiTheme="minorHAnsi" w:eastAsia="Times New Roman" w:hAnsiTheme="minorHAnsi" w:cstheme="minorHAnsi"/>
          <w:sz w:val="22"/>
          <w:lang w:val="en-CA" w:eastAsia="en-CA"/>
        </w:rPr>
        <w:t>Superviser</w:t>
      </w:r>
      <w:proofErr w:type="spellEnd"/>
      <w:r w:rsidRPr="00D61874">
        <w:rPr>
          <w:rFonts w:asciiTheme="minorHAnsi" w:eastAsia="Times New Roman" w:hAnsiTheme="minorHAnsi" w:cstheme="minorHAnsi"/>
          <w:sz w:val="22"/>
          <w:lang w:val="en-CA" w:eastAsia="en-CA"/>
        </w:rPr>
        <w:t xml:space="preserve"> </w:t>
      </w:r>
      <w:proofErr w:type="spellStart"/>
      <w:r w:rsidRPr="00D61874">
        <w:rPr>
          <w:rFonts w:asciiTheme="minorHAnsi" w:eastAsia="Times New Roman" w:hAnsiTheme="minorHAnsi" w:cstheme="minorHAnsi"/>
          <w:sz w:val="22"/>
          <w:lang w:val="en-CA" w:eastAsia="en-CA"/>
        </w:rPr>
        <w:t>l'analyse</w:t>
      </w:r>
      <w:proofErr w:type="spellEnd"/>
      <w:r w:rsidRPr="00D61874">
        <w:rPr>
          <w:rFonts w:asciiTheme="minorHAnsi" w:eastAsia="Times New Roman" w:hAnsiTheme="minorHAnsi" w:cstheme="minorHAnsi"/>
          <w:sz w:val="22"/>
          <w:lang w:val="en-CA" w:eastAsia="en-CA"/>
        </w:rPr>
        <w:t xml:space="preserve"> </w:t>
      </w:r>
      <w:proofErr w:type="spellStart"/>
      <w:r w:rsidRPr="00D61874">
        <w:rPr>
          <w:rFonts w:asciiTheme="minorHAnsi" w:eastAsia="Times New Roman" w:hAnsiTheme="minorHAnsi" w:cstheme="minorHAnsi"/>
          <w:sz w:val="22"/>
          <w:lang w:val="en-CA" w:eastAsia="en-CA"/>
        </w:rPr>
        <w:t>fonctionnelle</w:t>
      </w:r>
      <w:proofErr w:type="spellEnd"/>
      <w:r w:rsidRPr="00D61874">
        <w:rPr>
          <w:rFonts w:asciiTheme="minorHAnsi" w:eastAsia="Times New Roman" w:hAnsiTheme="minorHAnsi" w:cstheme="minorHAnsi"/>
          <w:sz w:val="22"/>
          <w:lang w:val="en-CA" w:eastAsia="en-CA"/>
        </w:rPr>
        <w:t xml:space="preserve"> des RH</w:t>
      </w:r>
    </w:p>
    <w:p w14:paraId="3F4873C4" w14:textId="77777777" w:rsidR="00D61874" w:rsidRPr="00D61874" w:rsidRDefault="00D61874" w:rsidP="00D61874">
      <w:pPr>
        <w:numPr>
          <w:ilvl w:val="0"/>
          <w:numId w:val="33"/>
        </w:num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Intégrer les activités de modernisation dans la structure et le fonctionnement du QG</w:t>
      </w:r>
    </w:p>
    <w:p w14:paraId="598DF9AC"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b/>
          <w:bCs/>
          <w:sz w:val="22"/>
          <w:lang w:val="fr-CA" w:eastAsia="en-CA"/>
        </w:rPr>
        <w:t xml:space="preserve">Équipes de gestion et d'intégration des programmes, des opérations et du soutien </w:t>
      </w:r>
    </w:p>
    <w:p w14:paraId="36B022A9" w14:textId="77777777" w:rsidR="00D61874" w:rsidRPr="00D61874" w:rsidRDefault="00D61874" w:rsidP="00D61874">
      <w:pPr>
        <w:numPr>
          <w:ilvl w:val="0"/>
          <w:numId w:val="34"/>
        </w:num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Prendre en charge les travaux de modernisation dans leurs domaines respectifs</w:t>
      </w:r>
    </w:p>
    <w:p w14:paraId="1E2E8BCE" w14:textId="77777777" w:rsidR="00D61874" w:rsidRPr="00D61874" w:rsidRDefault="00D61874" w:rsidP="00D61874">
      <w:pPr>
        <w:numPr>
          <w:ilvl w:val="0"/>
          <w:numId w:val="35"/>
        </w:num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Collaborer avec les ressources déployables selon les besoins</w:t>
      </w:r>
    </w:p>
    <w:p w14:paraId="7AB63294" w14:textId="77777777" w:rsidR="00D61874" w:rsidRPr="00D61874" w:rsidRDefault="00D61874" w:rsidP="00D61874">
      <w:pPr>
        <w:numPr>
          <w:ilvl w:val="0"/>
          <w:numId w:val="36"/>
        </w:num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S'aligner sur le modèle dirigé par le centre et l'excellence du service à la clientèle</w:t>
      </w:r>
    </w:p>
    <w:p w14:paraId="565FDC4A"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b/>
          <w:bCs/>
          <w:sz w:val="22"/>
          <w:lang w:val="fr-CA" w:eastAsia="en-CA"/>
        </w:rPr>
        <w:t>Voir les ressources PowerPoint – Briefing du groupe des opérations des FCA</w:t>
      </w:r>
    </w:p>
    <w:p w14:paraId="3692EBEF"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b/>
          <w:bCs/>
          <w:sz w:val="22"/>
          <w:lang w:val="fr-CA" w:eastAsia="en-CA"/>
        </w:rPr>
        <w:t>Réorganisation du groupe des opérations des FCA (diapositive 9)</w:t>
      </w:r>
    </w:p>
    <w:p w14:paraId="3D71FCA0"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Résumé</w:t>
      </w:r>
    </w:p>
    <w:p w14:paraId="58F566EE"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10 chefs J regroupés en 3 directeurs : opérations, programmes et soutien</w:t>
      </w:r>
    </w:p>
    <w:p w14:paraId="597AAC60" w14:textId="4668B2A8"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xml:space="preserve">• L'objectif principal est une meilleure intégration avec les autres </w:t>
      </w:r>
      <w:r w:rsidR="00D23D91">
        <w:rPr>
          <w:rFonts w:asciiTheme="minorHAnsi" w:eastAsia="Times New Roman" w:hAnsiTheme="minorHAnsi" w:cstheme="minorHAnsi"/>
          <w:sz w:val="22"/>
          <w:lang w:val="fr-CA" w:eastAsia="en-CA"/>
        </w:rPr>
        <w:t>SMA</w:t>
      </w:r>
      <w:r w:rsidRPr="00D61874">
        <w:rPr>
          <w:rFonts w:asciiTheme="minorHAnsi" w:eastAsia="Times New Roman" w:hAnsiTheme="minorHAnsi" w:cstheme="minorHAnsi"/>
          <w:sz w:val="22"/>
          <w:lang w:val="fr-CA" w:eastAsia="en-CA"/>
        </w:rPr>
        <w:t xml:space="preserve">(IE) </w:t>
      </w:r>
      <w:r w:rsidR="00D23D91">
        <w:rPr>
          <w:rFonts w:asciiTheme="minorHAnsi" w:eastAsia="Times New Roman" w:hAnsiTheme="minorHAnsi" w:cstheme="minorHAnsi"/>
          <w:sz w:val="22"/>
          <w:lang w:val="fr-CA" w:eastAsia="en-CA"/>
        </w:rPr>
        <w:t>N</w:t>
      </w:r>
      <w:r w:rsidRPr="00D61874">
        <w:rPr>
          <w:rFonts w:asciiTheme="minorHAnsi" w:eastAsia="Times New Roman" w:hAnsiTheme="minorHAnsi" w:cstheme="minorHAnsi"/>
          <w:sz w:val="22"/>
          <w:lang w:val="fr-CA" w:eastAsia="en-CA"/>
        </w:rPr>
        <w:t>2 – beaucoup ne sont pas familiarisés avec la structure des codes J</w:t>
      </w:r>
    </w:p>
    <w:p w14:paraId="5233B8A3" w14:textId="75B7EE84"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xml:space="preserve">• Actuellement, les autres </w:t>
      </w:r>
      <w:r w:rsidR="00D23D91">
        <w:rPr>
          <w:rFonts w:asciiTheme="minorHAnsi" w:eastAsia="Times New Roman" w:hAnsiTheme="minorHAnsi" w:cstheme="minorHAnsi"/>
          <w:sz w:val="22"/>
          <w:lang w:val="fr-CA" w:eastAsia="en-CA"/>
        </w:rPr>
        <w:t>N</w:t>
      </w:r>
      <w:r w:rsidRPr="00D61874">
        <w:rPr>
          <w:rFonts w:asciiTheme="minorHAnsi" w:eastAsia="Times New Roman" w:hAnsiTheme="minorHAnsi" w:cstheme="minorHAnsi"/>
          <w:sz w:val="22"/>
          <w:lang w:val="fr-CA" w:eastAsia="en-CA"/>
        </w:rPr>
        <w:t xml:space="preserve">3 ont entre 2 et 5 points de contact au sein des codes J, la nouvelle structure fournit un point de contact principal pour chaque </w:t>
      </w:r>
      <w:r w:rsidR="00D23D91">
        <w:rPr>
          <w:rFonts w:asciiTheme="minorHAnsi" w:eastAsia="Times New Roman" w:hAnsiTheme="minorHAnsi" w:cstheme="minorHAnsi"/>
          <w:sz w:val="22"/>
          <w:lang w:val="fr-CA" w:eastAsia="en-CA"/>
        </w:rPr>
        <w:t>N</w:t>
      </w:r>
      <w:r w:rsidRPr="00D61874">
        <w:rPr>
          <w:rFonts w:asciiTheme="minorHAnsi" w:eastAsia="Times New Roman" w:hAnsiTheme="minorHAnsi" w:cstheme="minorHAnsi"/>
          <w:sz w:val="22"/>
          <w:lang w:val="fr-CA" w:eastAsia="en-CA"/>
        </w:rPr>
        <w:t>3.</w:t>
      </w:r>
    </w:p>
    <w:p w14:paraId="253F3649"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L'avantage secondaire est une amélioration de la profondeur et de la concentration, ainsi que la maximisation du leadership senior existant au siège</w:t>
      </w:r>
    </w:p>
    <w:p w14:paraId="051245AC"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Exemple : la gestion des programmes est actuellement partagée entre 3 codes J qui seraient regroupés sous un seul.</w:t>
      </w:r>
    </w:p>
    <w:p w14:paraId="29077EF9" w14:textId="40B3AF82"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La mise en œuvre est réalisable en quelques mois et devrait se faire de manière relativement transparente. Priorité donnée dans les prévisions actuelles de l'</w:t>
      </w:r>
      <w:r w:rsidR="00D23D91">
        <w:rPr>
          <w:rFonts w:asciiTheme="minorHAnsi" w:eastAsia="Times New Roman" w:hAnsiTheme="minorHAnsi" w:cstheme="minorHAnsi"/>
          <w:sz w:val="22"/>
          <w:lang w:val="fr-CA" w:eastAsia="en-CA"/>
        </w:rPr>
        <w:t>NNFL</w:t>
      </w:r>
      <w:r w:rsidRPr="00D61874">
        <w:rPr>
          <w:rFonts w:asciiTheme="minorHAnsi" w:eastAsia="Times New Roman" w:hAnsiTheme="minorHAnsi" w:cstheme="minorHAnsi"/>
          <w:sz w:val="22"/>
          <w:lang w:val="fr-CA" w:eastAsia="en-CA"/>
        </w:rPr>
        <w:t xml:space="preserve"> </w:t>
      </w:r>
      <w:r w:rsidR="00D23D91">
        <w:rPr>
          <w:rFonts w:asciiTheme="minorHAnsi" w:eastAsia="Times New Roman" w:hAnsiTheme="minorHAnsi" w:cstheme="minorHAnsi"/>
          <w:sz w:val="22"/>
          <w:lang w:val="fr-CA" w:eastAsia="en-CA"/>
        </w:rPr>
        <w:t>ETP</w:t>
      </w:r>
      <w:r w:rsidRPr="00D61874">
        <w:rPr>
          <w:rFonts w:asciiTheme="minorHAnsi" w:eastAsia="Times New Roman" w:hAnsiTheme="minorHAnsi" w:cstheme="minorHAnsi"/>
          <w:sz w:val="22"/>
          <w:lang w:val="fr-CA" w:eastAsia="en-CA"/>
        </w:rPr>
        <w:t>.</w:t>
      </w:r>
    </w:p>
    <w:p w14:paraId="1F9EE5BC" w14:textId="77777777" w:rsidR="00D61874" w:rsidRPr="00D61874" w:rsidRDefault="00D61874" w:rsidP="00D61874">
      <w:pPr>
        <w:spacing w:before="100" w:beforeAutospacing="1" w:after="100" w:afterAutospacing="1"/>
        <w:rPr>
          <w:rFonts w:asciiTheme="minorHAnsi" w:eastAsia="Times New Roman" w:hAnsiTheme="minorHAnsi" w:cstheme="minorHAnsi"/>
          <w:sz w:val="22"/>
          <w:lang w:val="fr-CA" w:eastAsia="en-CA"/>
        </w:rPr>
      </w:pPr>
      <w:r w:rsidRPr="00D61874">
        <w:rPr>
          <w:rFonts w:asciiTheme="minorHAnsi" w:eastAsia="Times New Roman" w:hAnsiTheme="minorHAnsi" w:cstheme="minorHAnsi"/>
          <w:sz w:val="22"/>
          <w:lang w:val="fr-CA" w:eastAsia="en-CA"/>
        </w:rPr>
        <w:t>• Directeur civil prévu pour le programme – crée des avantages en termes de continuité et de développement, mais présente des risques de classification (AS vs EX)</w:t>
      </w:r>
    </w:p>
    <w:p w14:paraId="576AE496" w14:textId="77777777" w:rsidR="00404C42" w:rsidRPr="00D61874" w:rsidRDefault="00404C42" w:rsidP="00214385">
      <w:pPr>
        <w:rPr>
          <w:rFonts w:asciiTheme="minorHAnsi" w:hAnsiTheme="minorHAnsi" w:cstheme="minorHAnsi"/>
          <w:b/>
          <w:bCs/>
          <w:sz w:val="22"/>
          <w:lang w:val="fr-CA"/>
        </w:rPr>
      </w:pPr>
    </w:p>
    <w:p w14:paraId="6082C510" w14:textId="5275144F" w:rsidR="00611F98" w:rsidRPr="00D23D91" w:rsidRDefault="005128EF" w:rsidP="00214385">
      <w:pPr>
        <w:rPr>
          <w:rFonts w:asciiTheme="minorHAnsi" w:hAnsiTheme="minorHAnsi" w:cstheme="minorHAnsi"/>
          <w:b/>
          <w:bCs/>
          <w:sz w:val="22"/>
          <w:lang w:val="fr-CA"/>
        </w:rPr>
      </w:pPr>
      <w:r w:rsidRPr="00D23D91">
        <w:rPr>
          <w:rFonts w:asciiTheme="minorHAnsi" w:hAnsiTheme="minorHAnsi" w:cstheme="minorHAnsi"/>
          <w:b/>
          <w:bCs/>
          <w:sz w:val="22"/>
          <w:lang w:val="fr-CA"/>
        </w:rPr>
        <w:t>N</w:t>
      </w:r>
      <w:r w:rsidR="00D23D91" w:rsidRPr="00D23D91">
        <w:rPr>
          <w:rFonts w:asciiTheme="minorHAnsi" w:hAnsiTheme="minorHAnsi" w:cstheme="minorHAnsi"/>
          <w:b/>
          <w:bCs/>
          <w:sz w:val="22"/>
          <w:lang w:val="fr-CA"/>
        </w:rPr>
        <w:t>ouvelle structure en bref (s</w:t>
      </w:r>
      <w:r w:rsidR="00D23D91">
        <w:rPr>
          <w:rFonts w:asciiTheme="minorHAnsi" w:hAnsiTheme="minorHAnsi" w:cstheme="minorHAnsi"/>
          <w:b/>
          <w:bCs/>
          <w:sz w:val="22"/>
          <w:lang w:val="fr-CA"/>
        </w:rPr>
        <w:t>eulement disponible en anglais)</w:t>
      </w:r>
    </w:p>
    <w:p w14:paraId="48073BC7" w14:textId="77777777" w:rsidR="005128EF" w:rsidRPr="00D23D91" w:rsidRDefault="005128EF" w:rsidP="00214385">
      <w:pPr>
        <w:rPr>
          <w:rFonts w:asciiTheme="minorHAnsi" w:hAnsiTheme="minorHAnsi" w:cstheme="minorHAnsi"/>
          <w:b/>
          <w:bCs/>
          <w:sz w:val="22"/>
          <w:lang w:val="fr-CA"/>
        </w:rPr>
      </w:pPr>
    </w:p>
    <w:p w14:paraId="00F09F4B" w14:textId="548887FF" w:rsidR="00611F98" w:rsidRDefault="00DC2E7B" w:rsidP="00214385">
      <w:pPr>
        <w:rPr>
          <w:rFonts w:asciiTheme="minorHAnsi" w:hAnsiTheme="minorHAnsi" w:cstheme="minorHAnsi"/>
          <w:b/>
          <w:bCs/>
          <w:sz w:val="22"/>
        </w:rPr>
      </w:pPr>
      <w:r>
        <w:rPr>
          <w:noProof/>
        </w:rPr>
        <w:drawing>
          <wp:inline distT="0" distB="0" distL="0" distR="0" wp14:anchorId="14D620A6" wp14:editId="4E6F71E3">
            <wp:extent cx="5943600" cy="3282950"/>
            <wp:effectExtent l="0" t="0" r="0" b="0"/>
            <wp:docPr id="13544187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18734" name=""/>
                    <pic:cNvPicPr/>
                  </pic:nvPicPr>
                  <pic:blipFill>
                    <a:blip r:embed="rId6">
                      <a:extLst>
                        <a:ext uri="{96DAC541-7B7A-43D3-8B79-37D633B846F1}">
                          <asvg:svgBlip xmlns:asvg="http://schemas.microsoft.com/office/drawing/2016/SVG/main" r:embed="rId7"/>
                        </a:ext>
                      </a:extLst>
                    </a:blip>
                    <a:stretch>
                      <a:fillRect/>
                    </a:stretch>
                  </pic:blipFill>
                  <pic:spPr>
                    <a:xfrm>
                      <a:off x="0" y="0"/>
                      <a:ext cx="5943600" cy="3282950"/>
                    </a:xfrm>
                    <a:prstGeom prst="rect">
                      <a:avLst/>
                    </a:prstGeom>
                  </pic:spPr>
                </pic:pic>
              </a:graphicData>
            </a:graphic>
          </wp:inline>
        </w:drawing>
      </w:r>
    </w:p>
    <w:p w14:paraId="4FA4BBBD" w14:textId="4D2C0553" w:rsidR="00D23D91" w:rsidRPr="00D23D91" w:rsidRDefault="00D23D91" w:rsidP="00D23D91">
      <w:pPr>
        <w:pStyle w:val="NormalWeb"/>
        <w:rPr>
          <w:rFonts w:asciiTheme="minorHAnsi" w:hAnsiTheme="minorHAnsi" w:cstheme="minorHAnsi"/>
          <w:sz w:val="22"/>
          <w:szCs w:val="22"/>
          <w:lang w:val="fr-CA"/>
        </w:rPr>
      </w:pPr>
      <w:r>
        <w:rPr>
          <w:rFonts w:asciiTheme="minorHAnsi" w:hAnsiTheme="minorHAnsi" w:cstheme="minorHAnsi"/>
          <w:b/>
          <w:bCs/>
          <w:sz w:val="22"/>
          <w:szCs w:val="22"/>
          <w:lang w:val="fr-CA"/>
        </w:rPr>
        <w:t>CDC</w:t>
      </w:r>
      <w:r w:rsidRPr="00D23D91">
        <w:rPr>
          <w:rFonts w:asciiTheme="minorHAnsi" w:hAnsiTheme="minorHAnsi" w:cstheme="minorHAnsi"/>
          <w:b/>
          <w:bCs/>
          <w:sz w:val="22"/>
          <w:szCs w:val="22"/>
          <w:lang w:val="fr-CA"/>
        </w:rPr>
        <w:t xml:space="preserve"> –</w:t>
      </w:r>
    </w:p>
    <w:p w14:paraId="7DC32DC7"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 xml:space="preserve">Le colonel Fortin a déclaré qu'il y aurait davantage de contrats de gestion des installations. </w:t>
      </w:r>
    </w:p>
    <w:p w14:paraId="43C02F9E" w14:textId="7EC323F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b/>
          <w:bCs/>
          <w:sz w:val="22"/>
          <w:szCs w:val="22"/>
          <w:lang w:val="fr-CA"/>
        </w:rPr>
        <w:t xml:space="preserve">Voir le PowerPoint sur les ressources – Exposé du groupe des </w:t>
      </w:r>
      <w:r>
        <w:rPr>
          <w:rFonts w:asciiTheme="minorHAnsi" w:hAnsiTheme="minorHAnsi" w:cstheme="minorHAnsi"/>
          <w:b/>
          <w:bCs/>
          <w:sz w:val="22"/>
          <w:szCs w:val="22"/>
          <w:lang w:val="fr-CA"/>
        </w:rPr>
        <w:t>UOI</w:t>
      </w:r>
      <w:r w:rsidRPr="00D23D91">
        <w:rPr>
          <w:rFonts w:asciiTheme="minorHAnsi" w:hAnsiTheme="minorHAnsi" w:cstheme="minorHAnsi"/>
          <w:b/>
          <w:bCs/>
          <w:sz w:val="22"/>
          <w:szCs w:val="22"/>
          <w:lang w:val="fr-CA"/>
        </w:rPr>
        <w:t xml:space="preserve"> des FC (diapositive 2)</w:t>
      </w:r>
    </w:p>
    <w:p w14:paraId="3EEF91D9"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Notre plan</w:t>
      </w:r>
    </w:p>
    <w:p w14:paraId="07BAF652"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u w:val="single"/>
          <w:lang w:val="fr-CA"/>
        </w:rPr>
        <w:t>Investissement dans la main-d'œuvre</w:t>
      </w:r>
    </w:p>
    <w:p w14:paraId="2A885C04"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 Augmentation dans tous les domaines (y compris les ateliers)</w:t>
      </w:r>
    </w:p>
    <w:p w14:paraId="4C3ED015"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u w:val="single"/>
          <w:lang w:val="fr-CA"/>
        </w:rPr>
        <w:t>Optimisation de la prestation des opérations</w:t>
      </w:r>
    </w:p>
    <w:p w14:paraId="20C18C2C"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 Contrats d'entretien des installations, gestion de projet, contrats</w:t>
      </w:r>
    </w:p>
    <w:p w14:paraId="3C2B45F5"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u w:val="single"/>
          <w:lang w:val="fr-CA"/>
        </w:rPr>
        <w:t>Optimisation de la prestation des projets</w:t>
      </w:r>
    </w:p>
    <w:p w14:paraId="632796E7"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 Gestion de la construction, conception-construction modifiée, conception-soumission-construction et services de soutien technique</w:t>
      </w:r>
    </w:p>
    <w:p w14:paraId="00D50007"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u w:val="single"/>
          <w:lang w:val="fr-CA"/>
        </w:rPr>
        <w:t>Approche « tous les outils à portée de main »</w:t>
      </w:r>
    </w:p>
    <w:p w14:paraId="066EB36F"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 CDC</w:t>
      </w:r>
    </w:p>
    <w:p w14:paraId="5FE66737"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 PSPC</w:t>
      </w:r>
    </w:p>
    <w:p w14:paraId="25128FAB"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 CORCAN</w:t>
      </w:r>
    </w:p>
    <w:p w14:paraId="541E4FD0"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 Délégations</w:t>
      </w:r>
    </w:p>
    <w:p w14:paraId="60B4D08D" w14:textId="71C6C58D"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 xml:space="preserve">Le contrôle de la qualité des entrepreneurs est crucial pour la main-d'œuvre. Avec l'afflux de 9 milliards de dollars de financement, il y a une pression pour dépenser rapidement dans les infrastructures et un besoin de projets prêts à être réalisés. Il faudra donc faire appel à des entrepreneurs dès le début ; il faut s'attendre à une diminution du soutien à la passation de marchés à mesure que les embauches augmenteront. Le recrutement prend du temps, c'est pourquoi CDC est essentiel à ce stade. Le financement n'a pas été constant, mais grâce à cela, l'équipe peut planifier les 5 à 10 prochaines années. Des services supplémentaires de la </w:t>
      </w:r>
      <w:r>
        <w:rPr>
          <w:rFonts w:asciiTheme="minorHAnsi" w:hAnsiTheme="minorHAnsi" w:cstheme="minorHAnsi"/>
          <w:sz w:val="22"/>
          <w:szCs w:val="22"/>
          <w:lang w:val="fr-CA"/>
        </w:rPr>
        <w:t>CDC</w:t>
      </w:r>
      <w:r w:rsidRPr="00D23D91">
        <w:rPr>
          <w:rFonts w:asciiTheme="minorHAnsi" w:hAnsiTheme="minorHAnsi" w:cstheme="minorHAnsi"/>
          <w:sz w:val="22"/>
          <w:szCs w:val="22"/>
          <w:lang w:val="fr-CA"/>
        </w:rPr>
        <w:t xml:space="preserve"> sont nécessaires pour la gestion de projet et la gestion des contrats afin de fournir de meilleures infrastructures et de consolider les fondations (état du portefeuille).</w:t>
      </w:r>
    </w:p>
    <w:p w14:paraId="225AFAFF" w14:textId="59F9011C"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 xml:space="preserve">Il n'y a pas assez d'ingénieurs et d'employés à temps plein, il faut donc transformer le portefeuille en augmentant la capacité, en déléguant des pouvoirs et en utilisant tous les outils, c'est-à-dire les contrats et la </w:t>
      </w:r>
      <w:r>
        <w:rPr>
          <w:rFonts w:asciiTheme="minorHAnsi" w:hAnsiTheme="minorHAnsi" w:cstheme="minorHAnsi"/>
          <w:sz w:val="22"/>
          <w:szCs w:val="22"/>
          <w:lang w:val="fr-CA"/>
        </w:rPr>
        <w:t>CDC</w:t>
      </w:r>
      <w:r w:rsidRPr="00D23D91">
        <w:rPr>
          <w:rFonts w:asciiTheme="minorHAnsi" w:hAnsiTheme="minorHAnsi" w:cstheme="minorHAnsi"/>
          <w:sz w:val="22"/>
          <w:szCs w:val="22"/>
          <w:lang w:val="fr-CA"/>
        </w:rPr>
        <w:t>.</w:t>
      </w:r>
    </w:p>
    <w:p w14:paraId="38999030" w14:textId="3C8CF976"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 xml:space="preserve">Les syndicats ont obtenu une réunion séparée afin d'obtenir des éclaircissements sur le mandat du </w:t>
      </w:r>
      <w:r>
        <w:rPr>
          <w:rFonts w:asciiTheme="minorHAnsi" w:hAnsiTheme="minorHAnsi" w:cstheme="minorHAnsi"/>
          <w:sz w:val="22"/>
          <w:szCs w:val="22"/>
          <w:lang w:val="fr-CA"/>
        </w:rPr>
        <w:t>CDC</w:t>
      </w:r>
      <w:r w:rsidRPr="00D23D91">
        <w:rPr>
          <w:rFonts w:asciiTheme="minorHAnsi" w:hAnsiTheme="minorHAnsi" w:cstheme="minorHAnsi"/>
          <w:sz w:val="22"/>
          <w:szCs w:val="22"/>
          <w:lang w:val="fr-CA"/>
        </w:rPr>
        <w:t xml:space="preserve"> et de discuter de l'arrêt de l'utilisation du </w:t>
      </w:r>
      <w:r>
        <w:rPr>
          <w:rFonts w:asciiTheme="minorHAnsi" w:hAnsiTheme="minorHAnsi" w:cstheme="minorHAnsi"/>
          <w:sz w:val="22"/>
          <w:szCs w:val="22"/>
          <w:lang w:val="fr-CA"/>
        </w:rPr>
        <w:t>CDC</w:t>
      </w:r>
      <w:r w:rsidRPr="00D23D91">
        <w:rPr>
          <w:rFonts w:asciiTheme="minorHAnsi" w:hAnsiTheme="minorHAnsi" w:cstheme="minorHAnsi"/>
          <w:sz w:val="22"/>
          <w:szCs w:val="22"/>
          <w:lang w:val="fr-CA"/>
        </w:rPr>
        <w:t xml:space="preserve"> pour des travaux ne relevant pas de son mandat. Le manuel de l'accord de niveau de service (</w:t>
      </w:r>
      <w:r>
        <w:rPr>
          <w:rFonts w:asciiTheme="minorHAnsi" w:hAnsiTheme="minorHAnsi" w:cstheme="minorHAnsi"/>
          <w:sz w:val="22"/>
          <w:szCs w:val="22"/>
          <w:lang w:val="fr-CA"/>
        </w:rPr>
        <w:t>ANS</w:t>
      </w:r>
      <w:r w:rsidRPr="00D23D91">
        <w:rPr>
          <w:rFonts w:asciiTheme="minorHAnsi" w:hAnsiTheme="minorHAnsi" w:cstheme="minorHAnsi"/>
          <w:sz w:val="22"/>
          <w:szCs w:val="22"/>
          <w:lang w:val="fr-CA"/>
        </w:rPr>
        <w:t xml:space="preserve">) et les règlements de l'autorité contractante doivent être respectés. Cette réunion portera également sur le contrôle de la qualité et la responsabilisation du </w:t>
      </w:r>
      <w:r>
        <w:rPr>
          <w:rFonts w:asciiTheme="minorHAnsi" w:hAnsiTheme="minorHAnsi" w:cstheme="minorHAnsi"/>
          <w:sz w:val="22"/>
          <w:szCs w:val="22"/>
          <w:lang w:val="fr-CA"/>
        </w:rPr>
        <w:t>CDC</w:t>
      </w:r>
      <w:r w:rsidRPr="00D23D91">
        <w:rPr>
          <w:rFonts w:asciiTheme="minorHAnsi" w:hAnsiTheme="minorHAnsi" w:cstheme="minorHAnsi"/>
          <w:sz w:val="22"/>
          <w:szCs w:val="22"/>
          <w:lang w:val="fr-CA"/>
        </w:rPr>
        <w:t>.</w:t>
      </w:r>
    </w:p>
    <w:p w14:paraId="2779ABC8" w14:textId="24BC9444"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b/>
          <w:bCs/>
          <w:sz w:val="22"/>
          <w:szCs w:val="22"/>
          <w:lang w:val="fr-CA"/>
        </w:rPr>
        <w:t xml:space="preserve">Négociation – </w:t>
      </w:r>
      <w:r w:rsidRPr="00D23D91">
        <w:rPr>
          <w:rFonts w:asciiTheme="minorHAnsi" w:hAnsiTheme="minorHAnsi" w:cstheme="minorHAnsi"/>
          <w:sz w:val="22"/>
          <w:szCs w:val="22"/>
          <w:lang w:val="fr-CA"/>
        </w:rPr>
        <w:t>Discussion avec l</w:t>
      </w:r>
      <w:r>
        <w:rPr>
          <w:rFonts w:asciiTheme="minorHAnsi" w:hAnsiTheme="minorHAnsi" w:cstheme="minorHAnsi"/>
          <w:sz w:val="22"/>
          <w:szCs w:val="22"/>
          <w:lang w:val="fr-CA"/>
        </w:rPr>
        <w:t>e SMA</w:t>
      </w:r>
      <w:r w:rsidRPr="00D23D91">
        <w:rPr>
          <w:rFonts w:asciiTheme="minorHAnsi" w:hAnsiTheme="minorHAnsi" w:cstheme="minorHAnsi"/>
          <w:sz w:val="22"/>
          <w:szCs w:val="22"/>
          <w:lang w:val="fr-CA"/>
        </w:rPr>
        <w:t xml:space="preserve"> sur les études salariales et la question des bas salaires par rapport au secteur privé. Demande à la direction de veiller à ce que le CT soit informé des questions salariales au sein de l</w:t>
      </w:r>
      <w:r>
        <w:rPr>
          <w:rFonts w:asciiTheme="minorHAnsi" w:hAnsiTheme="minorHAnsi" w:cstheme="minorHAnsi"/>
          <w:sz w:val="22"/>
          <w:szCs w:val="22"/>
          <w:lang w:val="fr-CA"/>
        </w:rPr>
        <w:t xml:space="preserve">e SMA </w:t>
      </w:r>
      <w:proofErr w:type="spellStart"/>
      <w:r w:rsidRPr="00D23D91">
        <w:rPr>
          <w:rFonts w:asciiTheme="minorHAnsi" w:hAnsiTheme="minorHAnsi" w:cstheme="minorHAnsi"/>
          <w:sz w:val="22"/>
          <w:szCs w:val="22"/>
          <w:lang w:val="fr-CA"/>
        </w:rPr>
        <w:t>ie</w:t>
      </w:r>
      <w:proofErr w:type="spellEnd"/>
      <w:r w:rsidRPr="00D23D91">
        <w:rPr>
          <w:rFonts w:asciiTheme="minorHAnsi" w:hAnsiTheme="minorHAnsi" w:cstheme="minorHAnsi"/>
          <w:sz w:val="22"/>
          <w:szCs w:val="22"/>
          <w:lang w:val="fr-CA"/>
        </w:rPr>
        <w:t xml:space="preserve"> et des métiers.</w:t>
      </w:r>
    </w:p>
    <w:p w14:paraId="399AFE17"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b/>
          <w:bCs/>
          <w:sz w:val="22"/>
          <w:szCs w:val="22"/>
          <w:lang w:val="fr-CA"/>
        </w:rPr>
        <w:t>Apprentissage –</w:t>
      </w:r>
      <w:r w:rsidRPr="00D23D91">
        <w:rPr>
          <w:rFonts w:asciiTheme="minorHAnsi" w:hAnsiTheme="minorHAnsi" w:cstheme="minorHAnsi"/>
          <w:sz w:val="22"/>
          <w:szCs w:val="22"/>
          <w:lang w:val="fr-CA"/>
        </w:rPr>
        <w:t xml:space="preserve"> Rappel que ce programme a fonctionné dans le passé et qu'il ne faut pas l'oublier comme moyen d'obtenir des postes dans la fonction publique.</w:t>
      </w:r>
    </w:p>
    <w:p w14:paraId="019CDD97" w14:textId="77777777"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b/>
          <w:bCs/>
          <w:sz w:val="22"/>
          <w:szCs w:val="22"/>
          <w:lang w:val="fr-CA"/>
        </w:rPr>
        <w:t xml:space="preserve">Soumis respectueusement par </w:t>
      </w:r>
    </w:p>
    <w:p w14:paraId="79ED9A42" w14:textId="070E0A49" w:rsidR="00D23D91" w:rsidRPr="00D23D91" w:rsidRDefault="00D23D91" w:rsidP="00D23D91">
      <w:pPr>
        <w:pStyle w:val="NormalWeb"/>
        <w:rPr>
          <w:rFonts w:asciiTheme="minorHAnsi" w:hAnsiTheme="minorHAnsi" w:cstheme="minorHAnsi"/>
          <w:sz w:val="22"/>
          <w:szCs w:val="22"/>
          <w:lang w:val="fr-CA"/>
        </w:rPr>
      </w:pPr>
      <w:r w:rsidRPr="00D23D91">
        <w:rPr>
          <w:rFonts w:asciiTheme="minorHAnsi" w:hAnsiTheme="minorHAnsi" w:cstheme="minorHAnsi"/>
          <w:sz w:val="22"/>
          <w:szCs w:val="22"/>
          <w:lang w:val="fr-CA"/>
        </w:rPr>
        <w:t xml:space="preserve">Mona Simcoe </w:t>
      </w:r>
      <w:r>
        <w:rPr>
          <w:rFonts w:asciiTheme="minorHAnsi" w:hAnsiTheme="minorHAnsi" w:cstheme="minorHAnsi"/>
          <w:sz w:val="22"/>
          <w:szCs w:val="22"/>
          <w:lang w:val="fr-CA"/>
        </w:rPr>
        <w:tab/>
      </w:r>
      <w:r>
        <w:rPr>
          <w:rFonts w:asciiTheme="minorHAnsi" w:hAnsiTheme="minorHAnsi" w:cstheme="minorHAnsi"/>
          <w:sz w:val="22"/>
          <w:szCs w:val="22"/>
          <w:lang w:val="fr-CA"/>
        </w:rPr>
        <w:tab/>
      </w:r>
      <w:r>
        <w:rPr>
          <w:rFonts w:asciiTheme="minorHAnsi" w:hAnsiTheme="minorHAnsi" w:cstheme="minorHAnsi"/>
          <w:sz w:val="22"/>
          <w:szCs w:val="22"/>
          <w:lang w:val="fr-CA"/>
        </w:rPr>
        <w:tab/>
      </w:r>
      <w:r w:rsidRPr="00D23D91">
        <w:rPr>
          <w:rFonts w:asciiTheme="minorHAnsi" w:hAnsiTheme="minorHAnsi" w:cstheme="minorHAnsi"/>
          <w:sz w:val="22"/>
          <w:szCs w:val="22"/>
          <w:lang w:val="fr-CA"/>
        </w:rPr>
        <w:t>Marcelo Lazaro</w:t>
      </w:r>
    </w:p>
    <w:p w14:paraId="2B43BCDB" w14:textId="23548073" w:rsidR="00D23D91" w:rsidRPr="00D23D91" w:rsidRDefault="00D23D91" w:rsidP="00D23D91">
      <w:pPr>
        <w:pStyle w:val="NormalWeb"/>
        <w:rPr>
          <w:rFonts w:asciiTheme="minorHAnsi" w:hAnsiTheme="minorHAnsi" w:cstheme="minorHAnsi"/>
          <w:sz w:val="22"/>
          <w:szCs w:val="22"/>
        </w:rPr>
      </w:pPr>
      <w:r w:rsidRPr="00D23D91">
        <w:rPr>
          <w:rFonts w:asciiTheme="minorHAnsi" w:hAnsiTheme="minorHAnsi" w:cstheme="minorHAnsi"/>
          <w:sz w:val="22"/>
          <w:szCs w:val="22"/>
        </w:rPr>
        <w:t>VP MB/</w:t>
      </w:r>
      <w:proofErr w:type="spellStart"/>
      <w:r w:rsidRPr="00D23D91">
        <w:rPr>
          <w:rFonts w:asciiTheme="minorHAnsi" w:hAnsiTheme="minorHAnsi" w:cstheme="minorHAnsi"/>
          <w:sz w:val="22"/>
          <w:szCs w:val="22"/>
        </w:rPr>
        <w:t>Sask</w:t>
      </w:r>
      <w:proofErr w:type="spellEnd"/>
      <w:r w:rsidRPr="00D23D91">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23D91">
        <w:rPr>
          <w:rFonts w:asciiTheme="minorHAnsi" w:hAnsiTheme="minorHAnsi" w:cstheme="minorHAnsi"/>
          <w:sz w:val="22"/>
          <w:szCs w:val="22"/>
        </w:rPr>
        <w:t>VP BC</w:t>
      </w:r>
    </w:p>
    <w:p w14:paraId="60B0EBB5" w14:textId="7BD077A4" w:rsidR="00D23D91" w:rsidRPr="00D23D91" w:rsidRDefault="00D23D91" w:rsidP="00D23D91">
      <w:pPr>
        <w:pStyle w:val="NormalWeb"/>
        <w:rPr>
          <w:rFonts w:asciiTheme="minorHAnsi" w:hAnsiTheme="minorHAnsi" w:cstheme="minorHAnsi"/>
          <w:sz w:val="22"/>
          <w:szCs w:val="22"/>
        </w:rPr>
      </w:pPr>
      <w:proofErr w:type="spellStart"/>
      <w:r w:rsidRPr="00D23D91">
        <w:rPr>
          <w:rFonts w:asciiTheme="minorHAnsi" w:hAnsiTheme="minorHAnsi" w:cstheme="minorHAnsi"/>
          <w:sz w:val="22"/>
          <w:szCs w:val="22"/>
        </w:rPr>
        <w:t>Coprésident</w:t>
      </w:r>
      <w:r>
        <w:rPr>
          <w:rFonts w:asciiTheme="minorHAnsi" w:hAnsiTheme="minorHAnsi" w:cstheme="minorHAnsi"/>
          <w:sz w:val="22"/>
          <w:szCs w:val="22"/>
        </w:rPr>
        <w:t>e</w:t>
      </w:r>
      <w:proofErr w:type="spellEnd"/>
    </w:p>
    <w:p w14:paraId="7E4F69E6" w14:textId="77777777" w:rsidR="00D23D91" w:rsidRPr="00D23D91" w:rsidRDefault="00D23D91" w:rsidP="00D23D91">
      <w:pPr>
        <w:pStyle w:val="NormalWeb"/>
        <w:rPr>
          <w:rFonts w:asciiTheme="minorHAnsi" w:hAnsiTheme="minorHAnsi" w:cstheme="minorHAnsi"/>
          <w:sz w:val="22"/>
          <w:szCs w:val="22"/>
        </w:rPr>
      </w:pPr>
    </w:p>
    <w:p w14:paraId="00BCB510" w14:textId="77777777" w:rsidR="00611F98" w:rsidRPr="00D23D91" w:rsidRDefault="00611F98" w:rsidP="00214385">
      <w:pPr>
        <w:rPr>
          <w:rFonts w:asciiTheme="minorHAnsi" w:hAnsiTheme="minorHAnsi" w:cstheme="minorHAnsi"/>
          <w:b/>
          <w:bCs/>
          <w:sz w:val="22"/>
        </w:rPr>
      </w:pPr>
    </w:p>
    <w:sectPr w:rsidR="00611F98" w:rsidRPr="00D23D91" w:rsidSect="00611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04EF"/>
    <w:multiLevelType w:val="multilevel"/>
    <w:tmpl w:val="F752BF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3824D5"/>
    <w:multiLevelType w:val="multilevel"/>
    <w:tmpl w:val="5D887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8274DF"/>
    <w:multiLevelType w:val="multilevel"/>
    <w:tmpl w:val="C7F80D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28308C"/>
    <w:multiLevelType w:val="multilevel"/>
    <w:tmpl w:val="6424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619AC"/>
    <w:multiLevelType w:val="multilevel"/>
    <w:tmpl w:val="0B20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457FA"/>
    <w:multiLevelType w:val="multilevel"/>
    <w:tmpl w:val="B0A4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143C3"/>
    <w:multiLevelType w:val="multilevel"/>
    <w:tmpl w:val="AA82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02DC1"/>
    <w:multiLevelType w:val="multilevel"/>
    <w:tmpl w:val="22988C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203173"/>
    <w:multiLevelType w:val="hybridMultilevel"/>
    <w:tmpl w:val="94D41D54"/>
    <w:lvl w:ilvl="0" w:tplc="8E224940">
      <w:start w:val="1"/>
      <w:numFmt w:val="bullet"/>
      <w:lvlText w:val="•"/>
      <w:lvlJc w:val="left"/>
      <w:pPr>
        <w:tabs>
          <w:tab w:val="num" w:pos="720"/>
        </w:tabs>
        <w:ind w:left="720" w:hanging="360"/>
      </w:pPr>
      <w:rPr>
        <w:rFonts w:ascii="Arial" w:hAnsi="Arial" w:hint="default"/>
      </w:rPr>
    </w:lvl>
    <w:lvl w:ilvl="1" w:tplc="951CC822">
      <w:numFmt w:val="bullet"/>
      <w:lvlText w:val="•"/>
      <w:lvlJc w:val="left"/>
      <w:pPr>
        <w:tabs>
          <w:tab w:val="num" w:pos="1440"/>
        </w:tabs>
        <w:ind w:left="1440" w:hanging="360"/>
      </w:pPr>
      <w:rPr>
        <w:rFonts w:ascii="Arial" w:hAnsi="Arial" w:hint="default"/>
      </w:rPr>
    </w:lvl>
    <w:lvl w:ilvl="2" w:tplc="7864F708" w:tentative="1">
      <w:start w:val="1"/>
      <w:numFmt w:val="bullet"/>
      <w:lvlText w:val="•"/>
      <w:lvlJc w:val="left"/>
      <w:pPr>
        <w:tabs>
          <w:tab w:val="num" w:pos="2160"/>
        </w:tabs>
        <w:ind w:left="2160" w:hanging="360"/>
      </w:pPr>
      <w:rPr>
        <w:rFonts w:ascii="Arial" w:hAnsi="Arial" w:hint="default"/>
      </w:rPr>
    </w:lvl>
    <w:lvl w:ilvl="3" w:tplc="A8C04A62" w:tentative="1">
      <w:start w:val="1"/>
      <w:numFmt w:val="bullet"/>
      <w:lvlText w:val="•"/>
      <w:lvlJc w:val="left"/>
      <w:pPr>
        <w:tabs>
          <w:tab w:val="num" w:pos="2880"/>
        </w:tabs>
        <w:ind w:left="2880" w:hanging="360"/>
      </w:pPr>
      <w:rPr>
        <w:rFonts w:ascii="Arial" w:hAnsi="Arial" w:hint="default"/>
      </w:rPr>
    </w:lvl>
    <w:lvl w:ilvl="4" w:tplc="28C69B64" w:tentative="1">
      <w:start w:val="1"/>
      <w:numFmt w:val="bullet"/>
      <w:lvlText w:val="•"/>
      <w:lvlJc w:val="left"/>
      <w:pPr>
        <w:tabs>
          <w:tab w:val="num" w:pos="3600"/>
        </w:tabs>
        <w:ind w:left="3600" w:hanging="360"/>
      </w:pPr>
      <w:rPr>
        <w:rFonts w:ascii="Arial" w:hAnsi="Arial" w:hint="default"/>
      </w:rPr>
    </w:lvl>
    <w:lvl w:ilvl="5" w:tplc="D88CFAA2" w:tentative="1">
      <w:start w:val="1"/>
      <w:numFmt w:val="bullet"/>
      <w:lvlText w:val="•"/>
      <w:lvlJc w:val="left"/>
      <w:pPr>
        <w:tabs>
          <w:tab w:val="num" w:pos="4320"/>
        </w:tabs>
        <w:ind w:left="4320" w:hanging="360"/>
      </w:pPr>
      <w:rPr>
        <w:rFonts w:ascii="Arial" w:hAnsi="Arial" w:hint="default"/>
      </w:rPr>
    </w:lvl>
    <w:lvl w:ilvl="6" w:tplc="A18E56BC" w:tentative="1">
      <w:start w:val="1"/>
      <w:numFmt w:val="bullet"/>
      <w:lvlText w:val="•"/>
      <w:lvlJc w:val="left"/>
      <w:pPr>
        <w:tabs>
          <w:tab w:val="num" w:pos="5040"/>
        </w:tabs>
        <w:ind w:left="5040" w:hanging="360"/>
      </w:pPr>
      <w:rPr>
        <w:rFonts w:ascii="Arial" w:hAnsi="Arial" w:hint="default"/>
      </w:rPr>
    </w:lvl>
    <w:lvl w:ilvl="7" w:tplc="F452744C" w:tentative="1">
      <w:start w:val="1"/>
      <w:numFmt w:val="bullet"/>
      <w:lvlText w:val="•"/>
      <w:lvlJc w:val="left"/>
      <w:pPr>
        <w:tabs>
          <w:tab w:val="num" w:pos="5760"/>
        </w:tabs>
        <w:ind w:left="5760" w:hanging="360"/>
      </w:pPr>
      <w:rPr>
        <w:rFonts w:ascii="Arial" w:hAnsi="Arial" w:hint="default"/>
      </w:rPr>
    </w:lvl>
    <w:lvl w:ilvl="8" w:tplc="FA1C8BA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BC2E28"/>
    <w:multiLevelType w:val="multilevel"/>
    <w:tmpl w:val="C292E6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A078F1"/>
    <w:multiLevelType w:val="multilevel"/>
    <w:tmpl w:val="34BA0F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DA246D"/>
    <w:multiLevelType w:val="multilevel"/>
    <w:tmpl w:val="2088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40F36"/>
    <w:multiLevelType w:val="multilevel"/>
    <w:tmpl w:val="61E64F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1A145F"/>
    <w:multiLevelType w:val="multilevel"/>
    <w:tmpl w:val="5B88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251246"/>
    <w:multiLevelType w:val="hybridMultilevel"/>
    <w:tmpl w:val="56B01646"/>
    <w:lvl w:ilvl="0" w:tplc="C1FA5086">
      <w:start w:val="1"/>
      <w:numFmt w:val="bullet"/>
      <w:lvlText w:val="•"/>
      <w:lvlJc w:val="left"/>
      <w:pPr>
        <w:tabs>
          <w:tab w:val="num" w:pos="720"/>
        </w:tabs>
        <w:ind w:left="720" w:hanging="360"/>
      </w:pPr>
      <w:rPr>
        <w:rFonts w:ascii="Arial" w:hAnsi="Arial" w:hint="default"/>
      </w:rPr>
    </w:lvl>
    <w:lvl w:ilvl="1" w:tplc="805A7392" w:tentative="1">
      <w:start w:val="1"/>
      <w:numFmt w:val="bullet"/>
      <w:lvlText w:val="•"/>
      <w:lvlJc w:val="left"/>
      <w:pPr>
        <w:tabs>
          <w:tab w:val="num" w:pos="1440"/>
        </w:tabs>
        <w:ind w:left="1440" w:hanging="360"/>
      </w:pPr>
      <w:rPr>
        <w:rFonts w:ascii="Arial" w:hAnsi="Arial" w:hint="default"/>
      </w:rPr>
    </w:lvl>
    <w:lvl w:ilvl="2" w:tplc="15522BF8" w:tentative="1">
      <w:start w:val="1"/>
      <w:numFmt w:val="bullet"/>
      <w:lvlText w:val="•"/>
      <w:lvlJc w:val="left"/>
      <w:pPr>
        <w:tabs>
          <w:tab w:val="num" w:pos="2160"/>
        </w:tabs>
        <w:ind w:left="2160" w:hanging="360"/>
      </w:pPr>
      <w:rPr>
        <w:rFonts w:ascii="Arial" w:hAnsi="Arial" w:hint="default"/>
      </w:rPr>
    </w:lvl>
    <w:lvl w:ilvl="3" w:tplc="14F67710" w:tentative="1">
      <w:start w:val="1"/>
      <w:numFmt w:val="bullet"/>
      <w:lvlText w:val="•"/>
      <w:lvlJc w:val="left"/>
      <w:pPr>
        <w:tabs>
          <w:tab w:val="num" w:pos="2880"/>
        </w:tabs>
        <w:ind w:left="2880" w:hanging="360"/>
      </w:pPr>
      <w:rPr>
        <w:rFonts w:ascii="Arial" w:hAnsi="Arial" w:hint="default"/>
      </w:rPr>
    </w:lvl>
    <w:lvl w:ilvl="4" w:tplc="091A650E" w:tentative="1">
      <w:start w:val="1"/>
      <w:numFmt w:val="bullet"/>
      <w:lvlText w:val="•"/>
      <w:lvlJc w:val="left"/>
      <w:pPr>
        <w:tabs>
          <w:tab w:val="num" w:pos="3600"/>
        </w:tabs>
        <w:ind w:left="3600" w:hanging="360"/>
      </w:pPr>
      <w:rPr>
        <w:rFonts w:ascii="Arial" w:hAnsi="Arial" w:hint="default"/>
      </w:rPr>
    </w:lvl>
    <w:lvl w:ilvl="5" w:tplc="40D2157C" w:tentative="1">
      <w:start w:val="1"/>
      <w:numFmt w:val="bullet"/>
      <w:lvlText w:val="•"/>
      <w:lvlJc w:val="left"/>
      <w:pPr>
        <w:tabs>
          <w:tab w:val="num" w:pos="4320"/>
        </w:tabs>
        <w:ind w:left="4320" w:hanging="360"/>
      </w:pPr>
      <w:rPr>
        <w:rFonts w:ascii="Arial" w:hAnsi="Arial" w:hint="default"/>
      </w:rPr>
    </w:lvl>
    <w:lvl w:ilvl="6" w:tplc="8E9A297A" w:tentative="1">
      <w:start w:val="1"/>
      <w:numFmt w:val="bullet"/>
      <w:lvlText w:val="•"/>
      <w:lvlJc w:val="left"/>
      <w:pPr>
        <w:tabs>
          <w:tab w:val="num" w:pos="5040"/>
        </w:tabs>
        <w:ind w:left="5040" w:hanging="360"/>
      </w:pPr>
      <w:rPr>
        <w:rFonts w:ascii="Arial" w:hAnsi="Arial" w:hint="default"/>
      </w:rPr>
    </w:lvl>
    <w:lvl w:ilvl="7" w:tplc="AC0A8610" w:tentative="1">
      <w:start w:val="1"/>
      <w:numFmt w:val="bullet"/>
      <w:lvlText w:val="•"/>
      <w:lvlJc w:val="left"/>
      <w:pPr>
        <w:tabs>
          <w:tab w:val="num" w:pos="5760"/>
        </w:tabs>
        <w:ind w:left="5760" w:hanging="360"/>
      </w:pPr>
      <w:rPr>
        <w:rFonts w:ascii="Arial" w:hAnsi="Arial" w:hint="default"/>
      </w:rPr>
    </w:lvl>
    <w:lvl w:ilvl="8" w:tplc="93E418E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8C87622"/>
    <w:multiLevelType w:val="multilevel"/>
    <w:tmpl w:val="9B660C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856F10"/>
    <w:multiLevelType w:val="hybridMultilevel"/>
    <w:tmpl w:val="2BA6E068"/>
    <w:lvl w:ilvl="0" w:tplc="8AECF6C8">
      <w:start w:val="1"/>
      <w:numFmt w:val="bullet"/>
      <w:lvlText w:val="•"/>
      <w:lvlJc w:val="left"/>
      <w:pPr>
        <w:tabs>
          <w:tab w:val="num" w:pos="720"/>
        </w:tabs>
        <w:ind w:left="720" w:hanging="360"/>
      </w:pPr>
      <w:rPr>
        <w:rFonts w:ascii="Arial" w:hAnsi="Arial" w:hint="default"/>
      </w:rPr>
    </w:lvl>
    <w:lvl w:ilvl="1" w:tplc="F0020D70" w:tentative="1">
      <w:start w:val="1"/>
      <w:numFmt w:val="bullet"/>
      <w:lvlText w:val="•"/>
      <w:lvlJc w:val="left"/>
      <w:pPr>
        <w:tabs>
          <w:tab w:val="num" w:pos="1440"/>
        </w:tabs>
        <w:ind w:left="1440" w:hanging="360"/>
      </w:pPr>
      <w:rPr>
        <w:rFonts w:ascii="Arial" w:hAnsi="Arial" w:hint="default"/>
      </w:rPr>
    </w:lvl>
    <w:lvl w:ilvl="2" w:tplc="C3B82646" w:tentative="1">
      <w:start w:val="1"/>
      <w:numFmt w:val="bullet"/>
      <w:lvlText w:val="•"/>
      <w:lvlJc w:val="left"/>
      <w:pPr>
        <w:tabs>
          <w:tab w:val="num" w:pos="2160"/>
        </w:tabs>
        <w:ind w:left="2160" w:hanging="360"/>
      </w:pPr>
      <w:rPr>
        <w:rFonts w:ascii="Arial" w:hAnsi="Arial" w:hint="default"/>
      </w:rPr>
    </w:lvl>
    <w:lvl w:ilvl="3" w:tplc="CDF279AC" w:tentative="1">
      <w:start w:val="1"/>
      <w:numFmt w:val="bullet"/>
      <w:lvlText w:val="•"/>
      <w:lvlJc w:val="left"/>
      <w:pPr>
        <w:tabs>
          <w:tab w:val="num" w:pos="2880"/>
        </w:tabs>
        <w:ind w:left="2880" w:hanging="360"/>
      </w:pPr>
      <w:rPr>
        <w:rFonts w:ascii="Arial" w:hAnsi="Arial" w:hint="default"/>
      </w:rPr>
    </w:lvl>
    <w:lvl w:ilvl="4" w:tplc="5AF49488" w:tentative="1">
      <w:start w:val="1"/>
      <w:numFmt w:val="bullet"/>
      <w:lvlText w:val="•"/>
      <w:lvlJc w:val="left"/>
      <w:pPr>
        <w:tabs>
          <w:tab w:val="num" w:pos="3600"/>
        </w:tabs>
        <w:ind w:left="3600" w:hanging="360"/>
      </w:pPr>
      <w:rPr>
        <w:rFonts w:ascii="Arial" w:hAnsi="Arial" w:hint="default"/>
      </w:rPr>
    </w:lvl>
    <w:lvl w:ilvl="5" w:tplc="A75E2A58" w:tentative="1">
      <w:start w:val="1"/>
      <w:numFmt w:val="bullet"/>
      <w:lvlText w:val="•"/>
      <w:lvlJc w:val="left"/>
      <w:pPr>
        <w:tabs>
          <w:tab w:val="num" w:pos="4320"/>
        </w:tabs>
        <w:ind w:left="4320" w:hanging="360"/>
      </w:pPr>
      <w:rPr>
        <w:rFonts w:ascii="Arial" w:hAnsi="Arial" w:hint="default"/>
      </w:rPr>
    </w:lvl>
    <w:lvl w:ilvl="6" w:tplc="BF00E2F2" w:tentative="1">
      <w:start w:val="1"/>
      <w:numFmt w:val="bullet"/>
      <w:lvlText w:val="•"/>
      <w:lvlJc w:val="left"/>
      <w:pPr>
        <w:tabs>
          <w:tab w:val="num" w:pos="5040"/>
        </w:tabs>
        <w:ind w:left="5040" w:hanging="360"/>
      </w:pPr>
      <w:rPr>
        <w:rFonts w:ascii="Arial" w:hAnsi="Arial" w:hint="default"/>
      </w:rPr>
    </w:lvl>
    <w:lvl w:ilvl="7" w:tplc="ECA62992" w:tentative="1">
      <w:start w:val="1"/>
      <w:numFmt w:val="bullet"/>
      <w:lvlText w:val="•"/>
      <w:lvlJc w:val="left"/>
      <w:pPr>
        <w:tabs>
          <w:tab w:val="num" w:pos="5760"/>
        </w:tabs>
        <w:ind w:left="5760" w:hanging="360"/>
      </w:pPr>
      <w:rPr>
        <w:rFonts w:ascii="Arial" w:hAnsi="Arial" w:hint="default"/>
      </w:rPr>
    </w:lvl>
    <w:lvl w:ilvl="8" w:tplc="47BC8BF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C496110"/>
    <w:multiLevelType w:val="multilevel"/>
    <w:tmpl w:val="D106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EE1E13"/>
    <w:multiLevelType w:val="multilevel"/>
    <w:tmpl w:val="0D4CA1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A87AB7"/>
    <w:multiLevelType w:val="multilevel"/>
    <w:tmpl w:val="02781B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F65636"/>
    <w:multiLevelType w:val="hybridMultilevel"/>
    <w:tmpl w:val="4844B602"/>
    <w:lvl w:ilvl="0" w:tplc="F6907FD8">
      <w:start w:val="1"/>
      <w:numFmt w:val="bullet"/>
      <w:lvlText w:val="•"/>
      <w:lvlJc w:val="left"/>
      <w:pPr>
        <w:tabs>
          <w:tab w:val="num" w:pos="720"/>
        </w:tabs>
        <w:ind w:left="720" w:hanging="360"/>
      </w:pPr>
      <w:rPr>
        <w:rFonts w:ascii="Arial" w:hAnsi="Arial" w:hint="default"/>
      </w:rPr>
    </w:lvl>
    <w:lvl w:ilvl="1" w:tplc="ED265104" w:tentative="1">
      <w:start w:val="1"/>
      <w:numFmt w:val="bullet"/>
      <w:lvlText w:val="•"/>
      <w:lvlJc w:val="left"/>
      <w:pPr>
        <w:tabs>
          <w:tab w:val="num" w:pos="1440"/>
        </w:tabs>
        <w:ind w:left="1440" w:hanging="360"/>
      </w:pPr>
      <w:rPr>
        <w:rFonts w:ascii="Arial" w:hAnsi="Arial" w:hint="default"/>
      </w:rPr>
    </w:lvl>
    <w:lvl w:ilvl="2" w:tplc="7118FE56" w:tentative="1">
      <w:start w:val="1"/>
      <w:numFmt w:val="bullet"/>
      <w:lvlText w:val="•"/>
      <w:lvlJc w:val="left"/>
      <w:pPr>
        <w:tabs>
          <w:tab w:val="num" w:pos="2160"/>
        </w:tabs>
        <w:ind w:left="2160" w:hanging="360"/>
      </w:pPr>
      <w:rPr>
        <w:rFonts w:ascii="Arial" w:hAnsi="Arial" w:hint="default"/>
      </w:rPr>
    </w:lvl>
    <w:lvl w:ilvl="3" w:tplc="AD6CB404" w:tentative="1">
      <w:start w:val="1"/>
      <w:numFmt w:val="bullet"/>
      <w:lvlText w:val="•"/>
      <w:lvlJc w:val="left"/>
      <w:pPr>
        <w:tabs>
          <w:tab w:val="num" w:pos="2880"/>
        </w:tabs>
        <w:ind w:left="2880" w:hanging="360"/>
      </w:pPr>
      <w:rPr>
        <w:rFonts w:ascii="Arial" w:hAnsi="Arial" w:hint="default"/>
      </w:rPr>
    </w:lvl>
    <w:lvl w:ilvl="4" w:tplc="AFBAEDDE" w:tentative="1">
      <w:start w:val="1"/>
      <w:numFmt w:val="bullet"/>
      <w:lvlText w:val="•"/>
      <w:lvlJc w:val="left"/>
      <w:pPr>
        <w:tabs>
          <w:tab w:val="num" w:pos="3600"/>
        </w:tabs>
        <w:ind w:left="3600" w:hanging="360"/>
      </w:pPr>
      <w:rPr>
        <w:rFonts w:ascii="Arial" w:hAnsi="Arial" w:hint="default"/>
      </w:rPr>
    </w:lvl>
    <w:lvl w:ilvl="5" w:tplc="03E24DB6" w:tentative="1">
      <w:start w:val="1"/>
      <w:numFmt w:val="bullet"/>
      <w:lvlText w:val="•"/>
      <w:lvlJc w:val="left"/>
      <w:pPr>
        <w:tabs>
          <w:tab w:val="num" w:pos="4320"/>
        </w:tabs>
        <w:ind w:left="4320" w:hanging="360"/>
      </w:pPr>
      <w:rPr>
        <w:rFonts w:ascii="Arial" w:hAnsi="Arial" w:hint="default"/>
      </w:rPr>
    </w:lvl>
    <w:lvl w:ilvl="6" w:tplc="AEDA91A8" w:tentative="1">
      <w:start w:val="1"/>
      <w:numFmt w:val="bullet"/>
      <w:lvlText w:val="•"/>
      <w:lvlJc w:val="left"/>
      <w:pPr>
        <w:tabs>
          <w:tab w:val="num" w:pos="5040"/>
        </w:tabs>
        <w:ind w:left="5040" w:hanging="360"/>
      </w:pPr>
      <w:rPr>
        <w:rFonts w:ascii="Arial" w:hAnsi="Arial" w:hint="default"/>
      </w:rPr>
    </w:lvl>
    <w:lvl w:ilvl="7" w:tplc="55C4BA06" w:tentative="1">
      <w:start w:val="1"/>
      <w:numFmt w:val="bullet"/>
      <w:lvlText w:val="•"/>
      <w:lvlJc w:val="left"/>
      <w:pPr>
        <w:tabs>
          <w:tab w:val="num" w:pos="5760"/>
        </w:tabs>
        <w:ind w:left="5760" w:hanging="360"/>
      </w:pPr>
      <w:rPr>
        <w:rFonts w:ascii="Arial" w:hAnsi="Arial" w:hint="default"/>
      </w:rPr>
    </w:lvl>
    <w:lvl w:ilvl="8" w:tplc="EB20CF5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9D46DF5"/>
    <w:multiLevelType w:val="multilevel"/>
    <w:tmpl w:val="3B86F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F338FE"/>
    <w:multiLevelType w:val="multilevel"/>
    <w:tmpl w:val="30DC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3A4046"/>
    <w:multiLevelType w:val="multilevel"/>
    <w:tmpl w:val="080C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F4B8D"/>
    <w:multiLevelType w:val="multilevel"/>
    <w:tmpl w:val="4B824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C164D4"/>
    <w:multiLevelType w:val="multilevel"/>
    <w:tmpl w:val="C4BC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EC119F"/>
    <w:multiLevelType w:val="multilevel"/>
    <w:tmpl w:val="774C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9042A1"/>
    <w:multiLevelType w:val="multilevel"/>
    <w:tmpl w:val="B1A8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246A1B"/>
    <w:multiLevelType w:val="multilevel"/>
    <w:tmpl w:val="D90E84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015CC1"/>
    <w:multiLevelType w:val="multilevel"/>
    <w:tmpl w:val="460A4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C6482E"/>
    <w:multiLevelType w:val="multilevel"/>
    <w:tmpl w:val="9DC0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CA5F6E"/>
    <w:multiLevelType w:val="multilevel"/>
    <w:tmpl w:val="914EFE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E27BE6"/>
    <w:multiLevelType w:val="multilevel"/>
    <w:tmpl w:val="E42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E96D58"/>
    <w:multiLevelType w:val="multilevel"/>
    <w:tmpl w:val="296A4D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F9131C6"/>
    <w:multiLevelType w:val="multilevel"/>
    <w:tmpl w:val="513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9850EE"/>
    <w:multiLevelType w:val="multilevel"/>
    <w:tmpl w:val="11D6C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13560348">
    <w:abstractNumId w:val="14"/>
  </w:num>
  <w:num w:numId="2" w16cid:durableId="693119956">
    <w:abstractNumId w:val="16"/>
  </w:num>
  <w:num w:numId="3" w16cid:durableId="204803894">
    <w:abstractNumId w:val="20"/>
  </w:num>
  <w:num w:numId="4" w16cid:durableId="843084828">
    <w:abstractNumId w:val="8"/>
  </w:num>
  <w:num w:numId="5" w16cid:durableId="658195106">
    <w:abstractNumId w:val="29"/>
  </w:num>
  <w:num w:numId="6" w16cid:durableId="909540369">
    <w:abstractNumId w:val="18"/>
  </w:num>
  <w:num w:numId="7" w16cid:durableId="1092581445">
    <w:abstractNumId w:val="0"/>
  </w:num>
  <w:num w:numId="8" w16cid:durableId="263729232">
    <w:abstractNumId w:val="35"/>
  </w:num>
  <w:num w:numId="9" w16cid:durableId="1793673132">
    <w:abstractNumId w:val="33"/>
  </w:num>
  <w:num w:numId="10" w16cid:durableId="182329927">
    <w:abstractNumId w:val="2"/>
  </w:num>
  <w:num w:numId="11" w16cid:durableId="2075541673">
    <w:abstractNumId w:val="15"/>
  </w:num>
  <w:num w:numId="12" w16cid:durableId="2088726761">
    <w:abstractNumId w:val="1"/>
  </w:num>
  <w:num w:numId="13" w16cid:durableId="475072957">
    <w:abstractNumId w:val="12"/>
  </w:num>
  <w:num w:numId="14" w16cid:durableId="399013545">
    <w:abstractNumId w:val="7"/>
  </w:num>
  <w:num w:numId="15" w16cid:durableId="1688672058">
    <w:abstractNumId w:val="19"/>
  </w:num>
  <w:num w:numId="16" w16cid:durableId="2021740066">
    <w:abstractNumId w:val="21"/>
  </w:num>
  <w:num w:numId="17" w16cid:durableId="53967563">
    <w:abstractNumId w:val="10"/>
  </w:num>
  <w:num w:numId="18" w16cid:durableId="50470134">
    <w:abstractNumId w:val="9"/>
  </w:num>
  <w:num w:numId="19" w16cid:durableId="1904679750">
    <w:abstractNumId w:val="28"/>
  </w:num>
  <w:num w:numId="20" w16cid:durableId="327903220">
    <w:abstractNumId w:val="31"/>
  </w:num>
  <w:num w:numId="21" w16cid:durableId="895237183">
    <w:abstractNumId w:val="34"/>
  </w:num>
  <w:num w:numId="22" w16cid:durableId="2042316151">
    <w:abstractNumId w:val="26"/>
  </w:num>
  <w:num w:numId="23" w16cid:durableId="1643080313">
    <w:abstractNumId w:val="11"/>
  </w:num>
  <w:num w:numId="24" w16cid:durableId="1345135617">
    <w:abstractNumId w:val="24"/>
  </w:num>
  <w:num w:numId="25" w16cid:durableId="1942688354">
    <w:abstractNumId w:val="27"/>
  </w:num>
  <w:num w:numId="26" w16cid:durableId="1243372418">
    <w:abstractNumId w:val="25"/>
  </w:num>
  <w:num w:numId="27" w16cid:durableId="282613348">
    <w:abstractNumId w:val="17"/>
  </w:num>
  <w:num w:numId="28" w16cid:durableId="1255169246">
    <w:abstractNumId w:val="32"/>
  </w:num>
  <w:num w:numId="29" w16cid:durableId="16472987">
    <w:abstractNumId w:val="30"/>
  </w:num>
  <w:num w:numId="30" w16cid:durableId="121730086">
    <w:abstractNumId w:val="6"/>
  </w:num>
  <w:num w:numId="31" w16cid:durableId="172574064">
    <w:abstractNumId w:val="4"/>
  </w:num>
  <w:num w:numId="32" w16cid:durableId="424884023">
    <w:abstractNumId w:val="5"/>
  </w:num>
  <w:num w:numId="33" w16cid:durableId="1347246282">
    <w:abstractNumId w:val="23"/>
  </w:num>
  <w:num w:numId="34" w16cid:durableId="1546410427">
    <w:abstractNumId w:val="3"/>
  </w:num>
  <w:num w:numId="35" w16cid:durableId="1127115945">
    <w:abstractNumId w:val="13"/>
  </w:num>
  <w:num w:numId="36" w16cid:durableId="1165820277">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00653C"/>
    <w:rsid w:val="00020E79"/>
    <w:rsid w:val="0003578F"/>
    <w:rsid w:val="00037D81"/>
    <w:rsid w:val="00064BFE"/>
    <w:rsid w:val="000C6A1B"/>
    <w:rsid w:val="001170F1"/>
    <w:rsid w:val="00166FBB"/>
    <w:rsid w:val="00176D35"/>
    <w:rsid w:val="001827F1"/>
    <w:rsid w:val="001C31D0"/>
    <w:rsid w:val="001C73E5"/>
    <w:rsid w:val="001D2F3E"/>
    <w:rsid w:val="00214385"/>
    <w:rsid w:val="0025284D"/>
    <w:rsid w:val="002D4A52"/>
    <w:rsid w:val="003648BC"/>
    <w:rsid w:val="00372214"/>
    <w:rsid w:val="003B4855"/>
    <w:rsid w:val="003C7D94"/>
    <w:rsid w:val="0040427B"/>
    <w:rsid w:val="00404C42"/>
    <w:rsid w:val="00421DBD"/>
    <w:rsid w:val="004276C2"/>
    <w:rsid w:val="0045259E"/>
    <w:rsid w:val="004F0641"/>
    <w:rsid w:val="005128EF"/>
    <w:rsid w:val="005348E3"/>
    <w:rsid w:val="005F719B"/>
    <w:rsid w:val="00611F98"/>
    <w:rsid w:val="00641800"/>
    <w:rsid w:val="00673CC6"/>
    <w:rsid w:val="00680A00"/>
    <w:rsid w:val="006D404F"/>
    <w:rsid w:val="007028A0"/>
    <w:rsid w:val="00711DD8"/>
    <w:rsid w:val="00724D28"/>
    <w:rsid w:val="00746C25"/>
    <w:rsid w:val="008713A5"/>
    <w:rsid w:val="00871F67"/>
    <w:rsid w:val="008E2D80"/>
    <w:rsid w:val="008E5500"/>
    <w:rsid w:val="00A10324"/>
    <w:rsid w:val="00AD1C24"/>
    <w:rsid w:val="00AE58DB"/>
    <w:rsid w:val="00B17841"/>
    <w:rsid w:val="00BE7327"/>
    <w:rsid w:val="00CF1AD3"/>
    <w:rsid w:val="00D23D91"/>
    <w:rsid w:val="00D61874"/>
    <w:rsid w:val="00D73B02"/>
    <w:rsid w:val="00D77F12"/>
    <w:rsid w:val="00DC2E7B"/>
    <w:rsid w:val="00E4387D"/>
    <w:rsid w:val="00E93FF4"/>
    <w:rsid w:val="00EA047F"/>
    <w:rsid w:val="00EC592D"/>
    <w:rsid w:val="00EF0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2D05"/>
  <w15:chartTrackingRefBased/>
  <w15:docId w15:val="{5EC13D5A-9647-4BFA-8093-B2AEB0C7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 w:type="paragraph" w:customStyle="1" w:styleId="TableParagraph">
    <w:name w:val="Table Paragraph"/>
    <w:basedOn w:val="Normal"/>
    <w:uiPriority w:val="1"/>
    <w:qFormat/>
    <w:rsid w:val="00AE58DB"/>
    <w:pPr>
      <w:widowControl w:val="0"/>
      <w:autoSpaceDE w:val="0"/>
      <w:autoSpaceDN w:val="0"/>
    </w:pPr>
    <w:rPr>
      <w:rFonts w:eastAsia="Times New Roman" w:cs="Times New Roman"/>
      <w:sz w:val="22"/>
    </w:rPr>
  </w:style>
  <w:style w:type="character" w:styleId="Hyperlink">
    <w:name w:val="Hyperlink"/>
    <w:basedOn w:val="DefaultParagraphFont"/>
    <w:uiPriority w:val="99"/>
    <w:semiHidden/>
    <w:unhideWhenUsed/>
    <w:rsid w:val="0040427B"/>
    <w:rPr>
      <w:color w:val="0563C1"/>
      <w:u w:val="single"/>
    </w:rPr>
  </w:style>
  <w:style w:type="paragraph" w:styleId="BodyText">
    <w:name w:val="Body Text"/>
    <w:basedOn w:val="Normal"/>
    <w:link w:val="BodyTextChar"/>
    <w:uiPriority w:val="99"/>
    <w:semiHidden/>
    <w:unhideWhenUsed/>
    <w:rsid w:val="00746C25"/>
    <w:pPr>
      <w:spacing w:after="120"/>
    </w:pPr>
  </w:style>
  <w:style w:type="character" w:customStyle="1" w:styleId="BodyTextChar">
    <w:name w:val="Body Text Char"/>
    <w:basedOn w:val="DefaultParagraphFont"/>
    <w:link w:val="BodyText"/>
    <w:uiPriority w:val="99"/>
    <w:semiHidden/>
    <w:rsid w:val="00746C25"/>
  </w:style>
  <w:style w:type="paragraph" w:customStyle="1" w:styleId="xxtableparagraph">
    <w:name w:val="x_xtableparagraph"/>
    <w:basedOn w:val="Normal"/>
    <w:rsid w:val="00214385"/>
    <w:pPr>
      <w:autoSpaceDE w:val="0"/>
      <w:autoSpaceDN w:val="0"/>
    </w:pPr>
    <w:rPr>
      <w:rFonts w:cs="Times New Roman"/>
      <w:sz w:val="22"/>
      <w:lang w:val="en-CA" w:eastAsia="en-CA"/>
    </w:rPr>
  </w:style>
  <w:style w:type="paragraph" w:styleId="NormalWeb">
    <w:name w:val="Normal (Web)"/>
    <w:basedOn w:val="Normal"/>
    <w:uiPriority w:val="99"/>
    <w:unhideWhenUsed/>
    <w:rsid w:val="00D61874"/>
    <w:pPr>
      <w:spacing w:before="100" w:beforeAutospacing="1" w:after="100" w:afterAutospacing="1"/>
    </w:pPr>
    <w:rPr>
      <w:rFonts w:eastAsia="Times New Roman" w:cs="Times New Roman"/>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713">
      <w:bodyDiv w:val="1"/>
      <w:marLeft w:val="0"/>
      <w:marRight w:val="0"/>
      <w:marTop w:val="0"/>
      <w:marBottom w:val="0"/>
      <w:divBdr>
        <w:top w:val="none" w:sz="0" w:space="0" w:color="auto"/>
        <w:left w:val="none" w:sz="0" w:space="0" w:color="auto"/>
        <w:bottom w:val="none" w:sz="0" w:space="0" w:color="auto"/>
        <w:right w:val="none" w:sz="0" w:space="0" w:color="auto"/>
      </w:divBdr>
    </w:div>
    <w:div w:id="286274755">
      <w:bodyDiv w:val="1"/>
      <w:marLeft w:val="0"/>
      <w:marRight w:val="0"/>
      <w:marTop w:val="0"/>
      <w:marBottom w:val="0"/>
      <w:divBdr>
        <w:top w:val="none" w:sz="0" w:space="0" w:color="auto"/>
        <w:left w:val="none" w:sz="0" w:space="0" w:color="auto"/>
        <w:bottom w:val="none" w:sz="0" w:space="0" w:color="auto"/>
        <w:right w:val="none" w:sz="0" w:space="0" w:color="auto"/>
      </w:divBdr>
    </w:div>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394085727">
      <w:bodyDiv w:val="1"/>
      <w:marLeft w:val="0"/>
      <w:marRight w:val="0"/>
      <w:marTop w:val="0"/>
      <w:marBottom w:val="0"/>
      <w:divBdr>
        <w:top w:val="none" w:sz="0" w:space="0" w:color="auto"/>
        <w:left w:val="none" w:sz="0" w:space="0" w:color="auto"/>
        <w:bottom w:val="none" w:sz="0" w:space="0" w:color="auto"/>
        <w:right w:val="none" w:sz="0" w:space="0" w:color="auto"/>
      </w:divBdr>
    </w:div>
    <w:div w:id="411196269">
      <w:bodyDiv w:val="1"/>
      <w:marLeft w:val="0"/>
      <w:marRight w:val="0"/>
      <w:marTop w:val="0"/>
      <w:marBottom w:val="0"/>
      <w:divBdr>
        <w:top w:val="none" w:sz="0" w:space="0" w:color="auto"/>
        <w:left w:val="none" w:sz="0" w:space="0" w:color="auto"/>
        <w:bottom w:val="none" w:sz="0" w:space="0" w:color="auto"/>
        <w:right w:val="none" w:sz="0" w:space="0" w:color="auto"/>
      </w:divBdr>
    </w:div>
    <w:div w:id="502286314">
      <w:bodyDiv w:val="1"/>
      <w:marLeft w:val="0"/>
      <w:marRight w:val="0"/>
      <w:marTop w:val="0"/>
      <w:marBottom w:val="0"/>
      <w:divBdr>
        <w:top w:val="none" w:sz="0" w:space="0" w:color="auto"/>
        <w:left w:val="none" w:sz="0" w:space="0" w:color="auto"/>
        <w:bottom w:val="none" w:sz="0" w:space="0" w:color="auto"/>
        <w:right w:val="none" w:sz="0" w:space="0" w:color="auto"/>
      </w:divBdr>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 w:id="604848493">
      <w:bodyDiv w:val="1"/>
      <w:marLeft w:val="0"/>
      <w:marRight w:val="0"/>
      <w:marTop w:val="0"/>
      <w:marBottom w:val="0"/>
      <w:divBdr>
        <w:top w:val="none" w:sz="0" w:space="0" w:color="auto"/>
        <w:left w:val="none" w:sz="0" w:space="0" w:color="auto"/>
        <w:bottom w:val="none" w:sz="0" w:space="0" w:color="auto"/>
        <w:right w:val="none" w:sz="0" w:space="0" w:color="auto"/>
      </w:divBdr>
    </w:div>
    <w:div w:id="714739786">
      <w:bodyDiv w:val="1"/>
      <w:marLeft w:val="0"/>
      <w:marRight w:val="0"/>
      <w:marTop w:val="0"/>
      <w:marBottom w:val="0"/>
      <w:divBdr>
        <w:top w:val="none" w:sz="0" w:space="0" w:color="auto"/>
        <w:left w:val="none" w:sz="0" w:space="0" w:color="auto"/>
        <w:bottom w:val="none" w:sz="0" w:space="0" w:color="auto"/>
        <w:right w:val="none" w:sz="0" w:space="0" w:color="auto"/>
      </w:divBdr>
    </w:div>
    <w:div w:id="753169810">
      <w:bodyDiv w:val="1"/>
      <w:marLeft w:val="0"/>
      <w:marRight w:val="0"/>
      <w:marTop w:val="0"/>
      <w:marBottom w:val="0"/>
      <w:divBdr>
        <w:top w:val="none" w:sz="0" w:space="0" w:color="auto"/>
        <w:left w:val="none" w:sz="0" w:space="0" w:color="auto"/>
        <w:bottom w:val="none" w:sz="0" w:space="0" w:color="auto"/>
        <w:right w:val="none" w:sz="0" w:space="0" w:color="auto"/>
      </w:divBdr>
    </w:div>
    <w:div w:id="863251277">
      <w:bodyDiv w:val="1"/>
      <w:marLeft w:val="0"/>
      <w:marRight w:val="0"/>
      <w:marTop w:val="0"/>
      <w:marBottom w:val="0"/>
      <w:divBdr>
        <w:top w:val="none" w:sz="0" w:space="0" w:color="auto"/>
        <w:left w:val="none" w:sz="0" w:space="0" w:color="auto"/>
        <w:bottom w:val="none" w:sz="0" w:space="0" w:color="auto"/>
        <w:right w:val="none" w:sz="0" w:space="0" w:color="auto"/>
      </w:divBdr>
    </w:div>
    <w:div w:id="946696631">
      <w:bodyDiv w:val="1"/>
      <w:marLeft w:val="0"/>
      <w:marRight w:val="0"/>
      <w:marTop w:val="0"/>
      <w:marBottom w:val="0"/>
      <w:divBdr>
        <w:top w:val="none" w:sz="0" w:space="0" w:color="auto"/>
        <w:left w:val="none" w:sz="0" w:space="0" w:color="auto"/>
        <w:bottom w:val="none" w:sz="0" w:space="0" w:color="auto"/>
        <w:right w:val="none" w:sz="0" w:space="0" w:color="auto"/>
      </w:divBdr>
    </w:div>
    <w:div w:id="991448175">
      <w:bodyDiv w:val="1"/>
      <w:marLeft w:val="0"/>
      <w:marRight w:val="0"/>
      <w:marTop w:val="0"/>
      <w:marBottom w:val="0"/>
      <w:divBdr>
        <w:top w:val="none" w:sz="0" w:space="0" w:color="auto"/>
        <w:left w:val="none" w:sz="0" w:space="0" w:color="auto"/>
        <w:bottom w:val="none" w:sz="0" w:space="0" w:color="auto"/>
        <w:right w:val="none" w:sz="0" w:space="0" w:color="auto"/>
      </w:divBdr>
    </w:div>
    <w:div w:id="1009254635">
      <w:bodyDiv w:val="1"/>
      <w:marLeft w:val="0"/>
      <w:marRight w:val="0"/>
      <w:marTop w:val="0"/>
      <w:marBottom w:val="0"/>
      <w:divBdr>
        <w:top w:val="none" w:sz="0" w:space="0" w:color="auto"/>
        <w:left w:val="none" w:sz="0" w:space="0" w:color="auto"/>
        <w:bottom w:val="none" w:sz="0" w:space="0" w:color="auto"/>
        <w:right w:val="none" w:sz="0" w:space="0" w:color="auto"/>
      </w:divBdr>
    </w:div>
    <w:div w:id="1021858246">
      <w:bodyDiv w:val="1"/>
      <w:marLeft w:val="0"/>
      <w:marRight w:val="0"/>
      <w:marTop w:val="0"/>
      <w:marBottom w:val="0"/>
      <w:divBdr>
        <w:top w:val="none" w:sz="0" w:space="0" w:color="auto"/>
        <w:left w:val="none" w:sz="0" w:space="0" w:color="auto"/>
        <w:bottom w:val="none" w:sz="0" w:space="0" w:color="auto"/>
        <w:right w:val="none" w:sz="0" w:space="0" w:color="auto"/>
      </w:divBdr>
    </w:div>
    <w:div w:id="1050153095">
      <w:bodyDiv w:val="1"/>
      <w:marLeft w:val="0"/>
      <w:marRight w:val="0"/>
      <w:marTop w:val="0"/>
      <w:marBottom w:val="0"/>
      <w:divBdr>
        <w:top w:val="none" w:sz="0" w:space="0" w:color="auto"/>
        <w:left w:val="none" w:sz="0" w:space="0" w:color="auto"/>
        <w:bottom w:val="none" w:sz="0" w:space="0" w:color="auto"/>
        <w:right w:val="none" w:sz="0" w:space="0" w:color="auto"/>
      </w:divBdr>
    </w:div>
    <w:div w:id="1052584069">
      <w:bodyDiv w:val="1"/>
      <w:marLeft w:val="0"/>
      <w:marRight w:val="0"/>
      <w:marTop w:val="0"/>
      <w:marBottom w:val="0"/>
      <w:divBdr>
        <w:top w:val="none" w:sz="0" w:space="0" w:color="auto"/>
        <w:left w:val="none" w:sz="0" w:space="0" w:color="auto"/>
        <w:bottom w:val="none" w:sz="0" w:space="0" w:color="auto"/>
        <w:right w:val="none" w:sz="0" w:space="0" w:color="auto"/>
      </w:divBdr>
    </w:div>
    <w:div w:id="1077479256">
      <w:bodyDiv w:val="1"/>
      <w:marLeft w:val="0"/>
      <w:marRight w:val="0"/>
      <w:marTop w:val="0"/>
      <w:marBottom w:val="0"/>
      <w:divBdr>
        <w:top w:val="none" w:sz="0" w:space="0" w:color="auto"/>
        <w:left w:val="none" w:sz="0" w:space="0" w:color="auto"/>
        <w:bottom w:val="none" w:sz="0" w:space="0" w:color="auto"/>
        <w:right w:val="none" w:sz="0" w:space="0" w:color="auto"/>
      </w:divBdr>
    </w:div>
    <w:div w:id="1108045123">
      <w:bodyDiv w:val="1"/>
      <w:marLeft w:val="0"/>
      <w:marRight w:val="0"/>
      <w:marTop w:val="0"/>
      <w:marBottom w:val="0"/>
      <w:divBdr>
        <w:top w:val="none" w:sz="0" w:space="0" w:color="auto"/>
        <w:left w:val="none" w:sz="0" w:space="0" w:color="auto"/>
        <w:bottom w:val="none" w:sz="0" w:space="0" w:color="auto"/>
        <w:right w:val="none" w:sz="0" w:space="0" w:color="auto"/>
      </w:divBdr>
    </w:div>
    <w:div w:id="1140805084">
      <w:bodyDiv w:val="1"/>
      <w:marLeft w:val="0"/>
      <w:marRight w:val="0"/>
      <w:marTop w:val="0"/>
      <w:marBottom w:val="0"/>
      <w:divBdr>
        <w:top w:val="none" w:sz="0" w:space="0" w:color="auto"/>
        <w:left w:val="none" w:sz="0" w:space="0" w:color="auto"/>
        <w:bottom w:val="none" w:sz="0" w:space="0" w:color="auto"/>
        <w:right w:val="none" w:sz="0" w:space="0" w:color="auto"/>
      </w:divBdr>
    </w:div>
    <w:div w:id="1198814810">
      <w:bodyDiv w:val="1"/>
      <w:marLeft w:val="0"/>
      <w:marRight w:val="0"/>
      <w:marTop w:val="0"/>
      <w:marBottom w:val="0"/>
      <w:divBdr>
        <w:top w:val="none" w:sz="0" w:space="0" w:color="auto"/>
        <w:left w:val="none" w:sz="0" w:space="0" w:color="auto"/>
        <w:bottom w:val="none" w:sz="0" w:space="0" w:color="auto"/>
        <w:right w:val="none" w:sz="0" w:space="0" w:color="auto"/>
      </w:divBdr>
    </w:div>
    <w:div w:id="1271862399">
      <w:bodyDiv w:val="1"/>
      <w:marLeft w:val="0"/>
      <w:marRight w:val="0"/>
      <w:marTop w:val="0"/>
      <w:marBottom w:val="0"/>
      <w:divBdr>
        <w:top w:val="none" w:sz="0" w:space="0" w:color="auto"/>
        <w:left w:val="none" w:sz="0" w:space="0" w:color="auto"/>
        <w:bottom w:val="none" w:sz="0" w:space="0" w:color="auto"/>
        <w:right w:val="none" w:sz="0" w:space="0" w:color="auto"/>
      </w:divBdr>
    </w:div>
    <w:div w:id="1311444067">
      <w:bodyDiv w:val="1"/>
      <w:marLeft w:val="0"/>
      <w:marRight w:val="0"/>
      <w:marTop w:val="0"/>
      <w:marBottom w:val="0"/>
      <w:divBdr>
        <w:top w:val="none" w:sz="0" w:space="0" w:color="auto"/>
        <w:left w:val="none" w:sz="0" w:space="0" w:color="auto"/>
        <w:bottom w:val="none" w:sz="0" w:space="0" w:color="auto"/>
        <w:right w:val="none" w:sz="0" w:space="0" w:color="auto"/>
      </w:divBdr>
    </w:div>
    <w:div w:id="1330134315">
      <w:bodyDiv w:val="1"/>
      <w:marLeft w:val="0"/>
      <w:marRight w:val="0"/>
      <w:marTop w:val="0"/>
      <w:marBottom w:val="0"/>
      <w:divBdr>
        <w:top w:val="none" w:sz="0" w:space="0" w:color="auto"/>
        <w:left w:val="none" w:sz="0" w:space="0" w:color="auto"/>
        <w:bottom w:val="none" w:sz="0" w:space="0" w:color="auto"/>
        <w:right w:val="none" w:sz="0" w:space="0" w:color="auto"/>
      </w:divBdr>
    </w:div>
    <w:div w:id="1331711383">
      <w:bodyDiv w:val="1"/>
      <w:marLeft w:val="0"/>
      <w:marRight w:val="0"/>
      <w:marTop w:val="0"/>
      <w:marBottom w:val="0"/>
      <w:divBdr>
        <w:top w:val="none" w:sz="0" w:space="0" w:color="auto"/>
        <w:left w:val="none" w:sz="0" w:space="0" w:color="auto"/>
        <w:bottom w:val="none" w:sz="0" w:space="0" w:color="auto"/>
        <w:right w:val="none" w:sz="0" w:space="0" w:color="auto"/>
      </w:divBdr>
    </w:div>
    <w:div w:id="1444032528">
      <w:bodyDiv w:val="1"/>
      <w:marLeft w:val="0"/>
      <w:marRight w:val="0"/>
      <w:marTop w:val="0"/>
      <w:marBottom w:val="0"/>
      <w:divBdr>
        <w:top w:val="none" w:sz="0" w:space="0" w:color="auto"/>
        <w:left w:val="none" w:sz="0" w:space="0" w:color="auto"/>
        <w:bottom w:val="none" w:sz="0" w:space="0" w:color="auto"/>
        <w:right w:val="none" w:sz="0" w:space="0" w:color="auto"/>
      </w:divBdr>
    </w:div>
    <w:div w:id="1454447121">
      <w:bodyDiv w:val="1"/>
      <w:marLeft w:val="0"/>
      <w:marRight w:val="0"/>
      <w:marTop w:val="0"/>
      <w:marBottom w:val="0"/>
      <w:divBdr>
        <w:top w:val="none" w:sz="0" w:space="0" w:color="auto"/>
        <w:left w:val="none" w:sz="0" w:space="0" w:color="auto"/>
        <w:bottom w:val="none" w:sz="0" w:space="0" w:color="auto"/>
        <w:right w:val="none" w:sz="0" w:space="0" w:color="auto"/>
      </w:divBdr>
    </w:div>
    <w:div w:id="1464538746">
      <w:bodyDiv w:val="1"/>
      <w:marLeft w:val="0"/>
      <w:marRight w:val="0"/>
      <w:marTop w:val="0"/>
      <w:marBottom w:val="0"/>
      <w:divBdr>
        <w:top w:val="none" w:sz="0" w:space="0" w:color="auto"/>
        <w:left w:val="none" w:sz="0" w:space="0" w:color="auto"/>
        <w:bottom w:val="none" w:sz="0" w:space="0" w:color="auto"/>
        <w:right w:val="none" w:sz="0" w:space="0" w:color="auto"/>
      </w:divBdr>
    </w:div>
    <w:div w:id="1500997399">
      <w:bodyDiv w:val="1"/>
      <w:marLeft w:val="0"/>
      <w:marRight w:val="0"/>
      <w:marTop w:val="0"/>
      <w:marBottom w:val="0"/>
      <w:divBdr>
        <w:top w:val="none" w:sz="0" w:space="0" w:color="auto"/>
        <w:left w:val="none" w:sz="0" w:space="0" w:color="auto"/>
        <w:bottom w:val="none" w:sz="0" w:space="0" w:color="auto"/>
        <w:right w:val="none" w:sz="0" w:space="0" w:color="auto"/>
      </w:divBdr>
    </w:div>
    <w:div w:id="1542475643">
      <w:bodyDiv w:val="1"/>
      <w:marLeft w:val="0"/>
      <w:marRight w:val="0"/>
      <w:marTop w:val="0"/>
      <w:marBottom w:val="0"/>
      <w:divBdr>
        <w:top w:val="none" w:sz="0" w:space="0" w:color="auto"/>
        <w:left w:val="none" w:sz="0" w:space="0" w:color="auto"/>
        <w:bottom w:val="none" w:sz="0" w:space="0" w:color="auto"/>
        <w:right w:val="none" w:sz="0" w:space="0" w:color="auto"/>
      </w:divBdr>
    </w:div>
    <w:div w:id="1553538704">
      <w:bodyDiv w:val="1"/>
      <w:marLeft w:val="0"/>
      <w:marRight w:val="0"/>
      <w:marTop w:val="0"/>
      <w:marBottom w:val="0"/>
      <w:divBdr>
        <w:top w:val="none" w:sz="0" w:space="0" w:color="auto"/>
        <w:left w:val="none" w:sz="0" w:space="0" w:color="auto"/>
        <w:bottom w:val="none" w:sz="0" w:space="0" w:color="auto"/>
        <w:right w:val="none" w:sz="0" w:space="0" w:color="auto"/>
      </w:divBdr>
    </w:div>
    <w:div w:id="1596598779">
      <w:bodyDiv w:val="1"/>
      <w:marLeft w:val="0"/>
      <w:marRight w:val="0"/>
      <w:marTop w:val="0"/>
      <w:marBottom w:val="0"/>
      <w:divBdr>
        <w:top w:val="none" w:sz="0" w:space="0" w:color="auto"/>
        <w:left w:val="none" w:sz="0" w:space="0" w:color="auto"/>
        <w:bottom w:val="none" w:sz="0" w:space="0" w:color="auto"/>
        <w:right w:val="none" w:sz="0" w:space="0" w:color="auto"/>
      </w:divBdr>
    </w:div>
    <w:div w:id="1609779355">
      <w:bodyDiv w:val="1"/>
      <w:marLeft w:val="0"/>
      <w:marRight w:val="0"/>
      <w:marTop w:val="0"/>
      <w:marBottom w:val="0"/>
      <w:divBdr>
        <w:top w:val="none" w:sz="0" w:space="0" w:color="auto"/>
        <w:left w:val="none" w:sz="0" w:space="0" w:color="auto"/>
        <w:bottom w:val="none" w:sz="0" w:space="0" w:color="auto"/>
        <w:right w:val="none" w:sz="0" w:space="0" w:color="auto"/>
      </w:divBdr>
    </w:div>
    <w:div w:id="1618829457">
      <w:bodyDiv w:val="1"/>
      <w:marLeft w:val="0"/>
      <w:marRight w:val="0"/>
      <w:marTop w:val="0"/>
      <w:marBottom w:val="0"/>
      <w:divBdr>
        <w:top w:val="none" w:sz="0" w:space="0" w:color="auto"/>
        <w:left w:val="none" w:sz="0" w:space="0" w:color="auto"/>
        <w:bottom w:val="none" w:sz="0" w:space="0" w:color="auto"/>
        <w:right w:val="none" w:sz="0" w:space="0" w:color="auto"/>
      </w:divBdr>
    </w:div>
    <w:div w:id="1620260117">
      <w:bodyDiv w:val="1"/>
      <w:marLeft w:val="0"/>
      <w:marRight w:val="0"/>
      <w:marTop w:val="0"/>
      <w:marBottom w:val="0"/>
      <w:divBdr>
        <w:top w:val="none" w:sz="0" w:space="0" w:color="auto"/>
        <w:left w:val="none" w:sz="0" w:space="0" w:color="auto"/>
        <w:bottom w:val="none" w:sz="0" w:space="0" w:color="auto"/>
        <w:right w:val="none" w:sz="0" w:space="0" w:color="auto"/>
      </w:divBdr>
    </w:div>
    <w:div w:id="1629503906">
      <w:bodyDiv w:val="1"/>
      <w:marLeft w:val="0"/>
      <w:marRight w:val="0"/>
      <w:marTop w:val="0"/>
      <w:marBottom w:val="0"/>
      <w:divBdr>
        <w:top w:val="none" w:sz="0" w:space="0" w:color="auto"/>
        <w:left w:val="none" w:sz="0" w:space="0" w:color="auto"/>
        <w:bottom w:val="none" w:sz="0" w:space="0" w:color="auto"/>
        <w:right w:val="none" w:sz="0" w:space="0" w:color="auto"/>
      </w:divBdr>
    </w:div>
    <w:div w:id="1881163306">
      <w:bodyDiv w:val="1"/>
      <w:marLeft w:val="0"/>
      <w:marRight w:val="0"/>
      <w:marTop w:val="0"/>
      <w:marBottom w:val="0"/>
      <w:divBdr>
        <w:top w:val="none" w:sz="0" w:space="0" w:color="auto"/>
        <w:left w:val="none" w:sz="0" w:space="0" w:color="auto"/>
        <w:bottom w:val="none" w:sz="0" w:space="0" w:color="auto"/>
        <w:right w:val="none" w:sz="0" w:space="0" w:color="auto"/>
      </w:divBdr>
    </w:div>
    <w:div w:id="1919898496">
      <w:bodyDiv w:val="1"/>
      <w:marLeft w:val="0"/>
      <w:marRight w:val="0"/>
      <w:marTop w:val="0"/>
      <w:marBottom w:val="0"/>
      <w:divBdr>
        <w:top w:val="none" w:sz="0" w:space="0" w:color="auto"/>
        <w:left w:val="none" w:sz="0" w:space="0" w:color="auto"/>
        <w:bottom w:val="none" w:sz="0" w:space="0" w:color="auto"/>
        <w:right w:val="none" w:sz="0" w:space="0" w:color="auto"/>
      </w:divBdr>
    </w:div>
    <w:div w:id="2006472660">
      <w:bodyDiv w:val="1"/>
      <w:marLeft w:val="0"/>
      <w:marRight w:val="0"/>
      <w:marTop w:val="0"/>
      <w:marBottom w:val="0"/>
      <w:divBdr>
        <w:top w:val="none" w:sz="0" w:space="0" w:color="auto"/>
        <w:left w:val="none" w:sz="0" w:space="0" w:color="auto"/>
        <w:bottom w:val="none" w:sz="0" w:space="0" w:color="auto"/>
        <w:right w:val="none" w:sz="0" w:space="0" w:color="auto"/>
      </w:divBdr>
    </w:div>
    <w:div w:id="2027780085">
      <w:bodyDiv w:val="1"/>
      <w:marLeft w:val="0"/>
      <w:marRight w:val="0"/>
      <w:marTop w:val="0"/>
      <w:marBottom w:val="0"/>
      <w:divBdr>
        <w:top w:val="none" w:sz="0" w:space="0" w:color="auto"/>
        <w:left w:val="none" w:sz="0" w:space="0" w:color="auto"/>
        <w:bottom w:val="none" w:sz="0" w:space="0" w:color="auto"/>
        <w:right w:val="none" w:sz="0" w:space="0" w:color="auto"/>
      </w:divBdr>
    </w:div>
    <w:div w:id="204107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1562</Words>
  <Characters>8388</Characters>
  <Application>Microsoft Office Word</Application>
  <DocSecurity>0</DocSecurity>
  <Lines>123</Lines>
  <Paragraphs>39</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cp:lastPrinted>2023-08-10T22:31:00Z</cp:lastPrinted>
  <dcterms:created xsi:type="dcterms:W3CDTF">2025-11-26T19:19:00Z</dcterms:created>
  <dcterms:modified xsi:type="dcterms:W3CDTF">2025-11-26T19:35:00Z</dcterms:modified>
</cp:coreProperties>
</file>