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BEAE" w14:textId="67168042" w:rsidR="00826C53" w:rsidRDefault="00CD0B70" w:rsidP="00826C53">
      <w:pPr>
        <w:jc w:val="center"/>
        <w:rPr>
          <w:b/>
          <w:bCs/>
          <w:i/>
          <w:iCs/>
          <w:sz w:val="56"/>
          <w:szCs w:val="56"/>
        </w:rPr>
      </w:pPr>
      <w:r>
        <w:rPr>
          <w:b/>
          <w:bCs/>
          <w:i/>
          <w:iCs/>
          <w:sz w:val="56"/>
          <w:szCs w:val="56"/>
        </w:rPr>
        <w:t>UOI</w:t>
      </w:r>
      <w:r w:rsidR="00826C53" w:rsidRPr="00826C53">
        <w:rPr>
          <w:b/>
          <w:bCs/>
          <w:i/>
          <w:iCs/>
          <w:sz w:val="56"/>
          <w:szCs w:val="56"/>
        </w:rPr>
        <w:t xml:space="preserve"> Pacifi</w:t>
      </w:r>
      <w:r>
        <w:rPr>
          <w:b/>
          <w:bCs/>
          <w:i/>
          <w:iCs/>
          <w:sz w:val="56"/>
          <w:szCs w:val="56"/>
        </w:rPr>
        <w:t>que</w:t>
      </w:r>
    </w:p>
    <w:p w14:paraId="7B1F433F" w14:textId="6908D33E" w:rsidR="00CD0B70" w:rsidRPr="00CD0B70" w:rsidRDefault="00CD0B70" w:rsidP="00CD0B70">
      <w:pPr>
        <w:pStyle w:val="NormalWeb"/>
        <w:rPr>
          <w:lang w:val="fr-CA"/>
        </w:rPr>
      </w:pPr>
      <w:r w:rsidRPr="00CD0B70">
        <w:rPr>
          <w:lang w:val="fr-CA"/>
        </w:rPr>
        <w:t>L</w:t>
      </w:r>
      <w:r>
        <w:rPr>
          <w:lang w:val="fr-CA"/>
        </w:rPr>
        <w:t>e BGI</w:t>
      </w:r>
      <w:r w:rsidRPr="00CD0B70">
        <w:rPr>
          <w:lang w:val="fr-CA"/>
        </w:rPr>
        <w:t xml:space="preserve"> (« </w:t>
      </w:r>
      <w:r>
        <w:rPr>
          <w:lang w:val="fr-CA"/>
        </w:rPr>
        <w:t>Bureau Gestion d’Invalidité</w:t>
      </w:r>
      <w:r w:rsidRPr="00CD0B70">
        <w:rPr>
          <w:lang w:val="fr-CA"/>
        </w:rPr>
        <w:t xml:space="preserve"> ») a fourni un rapport </w:t>
      </w:r>
      <w:r>
        <w:rPr>
          <w:lang w:val="fr-CA"/>
        </w:rPr>
        <w:t>« </w:t>
      </w:r>
      <w:r w:rsidRPr="00CD0B70">
        <w:rPr>
          <w:lang w:val="fr-CA"/>
        </w:rPr>
        <w:t>Power BI</w:t>
      </w:r>
      <w:r>
        <w:rPr>
          <w:lang w:val="fr-CA"/>
        </w:rPr>
        <w:t> »</w:t>
      </w:r>
      <w:r w:rsidRPr="00CD0B70">
        <w:rPr>
          <w:lang w:val="fr-CA"/>
        </w:rPr>
        <w:t xml:space="preserve"> contenant certaines statistiques ; malheureusement, celui-ci est trompeur, car la période couverte s'étend d'avril 2017 au 31 mars 2026. </w:t>
      </w:r>
      <w:r w:rsidRPr="00CD0B70">
        <w:rPr>
          <w:i/>
          <w:iCs/>
          <w:lang w:val="fr-CA"/>
        </w:rPr>
        <w:t>Veuillez consulter le fichier PDF dans la documentation de référence.</w:t>
      </w:r>
    </w:p>
    <w:p w14:paraId="7963B19B" w14:textId="77777777" w:rsidR="00CD0B70" w:rsidRPr="00CD0B70" w:rsidRDefault="00CD0B70" w:rsidP="00CD0B70">
      <w:pPr>
        <w:pStyle w:val="NormalWeb"/>
        <w:rPr>
          <w:lang w:val="fr-CA"/>
        </w:rPr>
      </w:pPr>
      <w:r w:rsidRPr="00CD0B70">
        <w:rPr>
          <w:lang w:val="fr-CA"/>
        </w:rPr>
        <w:t xml:space="preserve">Au 8 avril 2026, grâce au financement « </w:t>
      </w:r>
      <w:proofErr w:type="spellStart"/>
      <w:r w:rsidRPr="00CD0B70">
        <w:rPr>
          <w:lang w:val="fr-CA"/>
        </w:rPr>
        <w:t>Surge</w:t>
      </w:r>
      <w:proofErr w:type="spellEnd"/>
      <w:r w:rsidRPr="00CD0B70">
        <w:rPr>
          <w:lang w:val="fr-CA"/>
        </w:rPr>
        <w:t xml:space="preserve"> » destiné à la région, nous avons un total de 154 postes en attente d'approbation.</w:t>
      </w:r>
    </w:p>
    <w:p w14:paraId="61E352DC" w14:textId="62B8E76A" w:rsidR="00CD0B70" w:rsidRPr="00CD0B70" w:rsidRDefault="00CD0B70" w:rsidP="00CD0B70">
      <w:pPr>
        <w:rPr>
          <w:lang w:val="fr-CA"/>
        </w:rPr>
      </w:pPr>
      <w:r>
        <w:rPr>
          <w:lang w:val="fr-CA"/>
        </w:rPr>
        <w:t>(</w:t>
      </w:r>
      <w:proofErr w:type="gramStart"/>
      <w:r w:rsidRPr="00CD0B70">
        <w:rPr>
          <w:i/>
          <w:iCs/>
          <w:sz w:val="20"/>
          <w:szCs w:val="20"/>
          <w:lang w:val="fr-CA"/>
        </w:rPr>
        <w:t>schéma</w:t>
      </w:r>
      <w:proofErr w:type="gramEnd"/>
      <w:r w:rsidRPr="00CD0B70">
        <w:rPr>
          <w:i/>
          <w:iCs/>
          <w:sz w:val="20"/>
          <w:szCs w:val="20"/>
          <w:lang w:val="fr-CA"/>
        </w:rPr>
        <w:t xml:space="preserve"> en anglais seulement</w:t>
      </w:r>
      <w:r>
        <w:rPr>
          <w:lang w:val="fr-CA"/>
        </w:rPr>
        <w:t>)</w:t>
      </w:r>
    </w:p>
    <w:p w14:paraId="360133FF" w14:textId="7201793B" w:rsidR="007A3934" w:rsidRDefault="007A3934" w:rsidP="007A3934">
      <w:pPr>
        <w:rPr>
          <w:sz w:val="28"/>
          <w:szCs w:val="28"/>
        </w:rPr>
      </w:pPr>
      <w:r>
        <w:rPr>
          <w:noProof/>
        </w:rPr>
        <w:drawing>
          <wp:inline distT="0" distB="0" distL="0" distR="0" wp14:anchorId="67613164" wp14:editId="4946BFC5">
            <wp:extent cx="5943600" cy="3343275"/>
            <wp:effectExtent l="0" t="0" r="0" b="9525"/>
            <wp:docPr id="18551185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18573" name=""/>
                    <pic:cNvPicPr/>
                  </pic:nvPicPr>
                  <pic:blipFill>
                    <a:blip r:embed="rId7">
                      <a:extLst>
                        <a:ext uri="{96DAC541-7B7A-43D3-8B79-37D633B846F1}">
                          <asvg:svgBlip xmlns:asvg="http://schemas.microsoft.com/office/drawing/2016/SVG/main" r:embed="rId8"/>
                        </a:ext>
                      </a:extLst>
                    </a:blip>
                    <a:stretch>
                      <a:fillRect/>
                    </a:stretch>
                  </pic:blipFill>
                  <pic:spPr>
                    <a:xfrm>
                      <a:off x="0" y="0"/>
                      <a:ext cx="5943600" cy="3343275"/>
                    </a:xfrm>
                    <a:prstGeom prst="rect">
                      <a:avLst/>
                    </a:prstGeom>
                  </pic:spPr>
                </pic:pic>
              </a:graphicData>
            </a:graphic>
          </wp:inline>
        </w:drawing>
      </w:r>
    </w:p>
    <w:p w14:paraId="2551F2A7" w14:textId="77777777" w:rsidR="00CD0B70" w:rsidRPr="00CD0B70" w:rsidRDefault="00CD0B70" w:rsidP="00CD0B70">
      <w:pPr>
        <w:pStyle w:val="NormalWeb"/>
        <w:rPr>
          <w:lang w:val="fr-CA"/>
        </w:rPr>
      </w:pPr>
      <w:r w:rsidRPr="00CD0B70">
        <w:rPr>
          <w:lang w:val="fr-CA"/>
        </w:rPr>
        <w:t>Effectifs supplémentaires récemment approuvés :</w:t>
      </w:r>
    </w:p>
    <w:p w14:paraId="53D6BA9F" w14:textId="77777777" w:rsidR="00CD0B70" w:rsidRPr="00CD0B70" w:rsidRDefault="00CD0B70" w:rsidP="00CD0B70">
      <w:pPr>
        <w:pStyle w:val="NormalWeb"/>
        <w:rPr>
          <w:lang w:val="fr-CA"/>
        </w:rPr>
      </w:pPr>
      <w:proofErr w:type="gramStart"/>
      <w:r w:rsidRPr="00CD0B70">
        <w:rPr>
          <w:lang w:val="fr-CA"/>
        </w:rPr>
        <w:t>o</w:t>
      </w:r>
      <w:proofErr w:type="gramEnd"/>
      <w:r w:rsidRPr="00CD0B70">
        <w:rPr>
          <w:lang w:val="fr-CA"/>
        </w:rPr>
        <w:t xml:space="preserve"> ESQ - 29 postes à durée indéterminée, 4 postes à durée déterminée, 1 nomination à titre intérimaire, 1 prolongation d'intérim, 1 reclassement (dont 1 création de nouveau poste)</w:t>
      </w:r>
    </w:p>
    <w:p w14:paraId="6FC24A50" w14:textId="77777777" w:rsidR="00CD0B70" w:rsidRPr="00CD0B70" w:rsidRDefault="00CD0B70" w:rsidP="00CD0B70">
      <w:pPr>
        <w:pStyle w:val="NormalWeb"/>
        <w:rPr>
          <w:lang w:val="fr-CA"/>
        </w:rPr>
      </w:pPr>
      <w:proofErr w:type="gramStart"/>
      <w:r w:rsidRPr="00CD0B70">
        <w:rPr>
          <w:lang w:val="fr-CA"/>
        </w:rPr>
        <w:t>o</w:t>
      </w:r>
      <w:proofErr w:type="gramEnd"/>
      <w:r w:rsidRPr="00CD0B70">
        <w:rPr>
          <w:lang w:val="fr-CA"/>
        </w:rPr>
        <w:t xml:space="preserve"> CMX - 6 postes à durée indéterminée, 3 postes à durée déterminée, 1 prolongation d'intérim (dont 1 création de nouveau poste)</w:t>
      </w:r>
    </w:p>
    <w:p w14:paraId="0BA9D621" w14:textId="77777777" w:rsidR="00CD0B70" w:rsidRPr="00CD0B70" w:rsidRDefault="00CD0B70" w:rsidP="00CD0B70">
      <w:pPr>
        <w:pStyle w:val="NormalWeb"/>
        <w:rPr>
          <w:lang w:val="fr-CA"/>
        </w:rPr>
      </w:pPr>
      <w:proofErr w:type="gramStart"/>
      <w:r w:rsidRPr="00CD0B70">
        <w:rPr>
          <w:lang w:val="fr-CA"/>
        </w:rPr>
        <w:lastRenderedPageBreak/>
        <w:t>o</w:t>
      </w:r>
      <w:proofErr w:type="gramEnd"/>
      <w:r w:rsidRPr="00CD0B70">
        <w:rPr>
          <w:lang w:val="fr-CA"/>
        </w:rPr>
        <w:t xml:space="preserve"> CWK - 2 postes à durée indéterminée (dont 1 nouveau poste créé)</w:t>
      </w:r>
    </w:p>
    <w:p w14:paraId="0D88553B" w14:textId="77777777" w:rsidR="00CD0B70" w:rsidRPr="00CD0B70" w:rsidRDefault="00CD0B70" w:rsidP="00CD0B70">
      <w:pPr>
        <w:pStyle w:val="NormalWeb"/>
        <w:rPr>
          <w:lang w:val="fr-CA"/>
        </w:rPr>
      </w:pPr>
      <w:proofErr w:type="gramStart"/>
      <w:r w:rsidRPr="00CD0B70">
        <w:rPr>
          <w:lang w:val="fr-CA"/>
        </w:rPr>
        <w:t>o</w:t>
      </w:r>
      <w:proofErr w:type="gramEnd"/>
      <w:r w:rsidRPr="00CD0B70">
        <w:rPr>
          <w:lang w:val="fr-CA"/>
        </w:rPr>
        <w:t xml:space="preserve"> RHQ - 4 postes à durée indéterminée, 1 nomination intérimaire (dont 1 nouveau poste créé)</w:t>
      </w:r>
    </w:p>
    <w:p w14:paraId="423A7679" w14:textId="63078B34" w:rsidR="00CD0B70" w:rsidRPr="00CD0B70" w:rsidRDefault="00CD0B70" w:rsidP="00CD0B70">
      <w:pPr>
        <w:pStyle w:val="NormalWeb"/>
        <w:rPr>
          <w:lang w:val="fr-CA"/>
        </w:rPr>
      </w:pPr>
      <w:r w:rsidRPr="00CD0B70">
        <w:rPr>
          <w:lang w:val="fr-CA"/>
        </w:rPr>
        <w:t xml:space="preserve">Points de dotation </w:t>
      </w:r>
      <w:r>
        <w:rPr>
          <w:lang w:val="fr-CA"/>
        </w:rPr>
        <w:t xml:space="preserve">UOI </w:t>
      </w:r>
      <w:r w:rsidRPr="00CD0B70">
        <w:rPr>
          <w:lang w:val="fr-CA"/>
        </w:rPr>
        <w:t>(P) – avril 2026</w:t>
      </w:r>
    </w:p>
    <w:p w14:paraId="57DFE915" w14:textId="77777777" w:rsidR="00CD0B70" w:rsidRPr="00CD0B70" w:rsidRDefault="00CD0B70" w:rsidP="00CD0B70">
      <w:pPr>
        <w:pStyle w:val="NormalWeb"/>
        <w:rPr>
          <w:lang w:val="fr-CA"/>
        </w:rPr>
      </w:pPr>
      <w:r w:rsidRPr="00CD0B70">
        <w:rPr>
          <w:lang w:val="fr-CA"/>
        </w:rPr>
        <w:t>Mesures de dotation :</w:t>
      </w:r>
    </w:p>
    <w:p w14:paraId="43FD9E66" w14:textId="77777777" w:rsidR="00CD0B70" w:rsidRPr="00CD0B70" w:rsidRDefault="00CD0B70" w:rsidP="00CD0B70">
      <w:pPr>
        <w:pStyle w:val="NormalWeb"/>
        <w:rPr>
          <w:lang w:val="fr-CA"/>
        </w:rPr>
      </w:pPr>
      <w:r w:rsidRPr="00CD0B70">
        <w:rPr>
          <w:lang w:val="fr-CA"/>
        </w:rPr>
        <w:t>· Du 1er avril au 31 mars 2026, la région Pacifique a traité 110 dossiers de dotation (hors postes intérimaires de moins de 4 mois, personnel occasionnel ou étudiants). Cela représente une augmentation de 19,6 % par rapport à l’année dernière. 22 nouveaux postes créés.</w:t>
      </w:r>
    </w:p>
    <w:p w14:paraId="73B28BBD" w14:textId="77777777" w:rsidR="00CD0B70" w:rsidRPr="00CD0B70" w:rsidRDefault="00CD0B70" w:rsidP="00CD0B70">
      <w:pPr>
        <w:pStyle w:val="NormalWeb"/>
        <w:rPr>
          <w:lang w:val="fr-CA"/>
        </w:rPr>
      </w:pPr>
      <w:r w:rsidRPr="00CD0B70">
        <w:rPr>
          <w:lang w:val="fr-CA"/>
        </w:rPr>
        <w:t>· Au 8 avril 2026, la région Pacifique compte 81 dossiers de dotation approuvés sur la liste glissante, dont 28 correspondent à de nouvelles créations de postes en renfort.</w:t>
      </w:r>
    </w:p>
    <w:p w14:paraId="23A7C5F3" w14:textId="77777777" w:rsidR="00CD0B70" w:rsidRPr="00CD0B70" w:rsidRDefault="00CD0B70" w:rsidP="00CD0B70">
      <w:pPr>
        <w:pStyle w:val="NormalWeb"/>
        <w:rPr>
          <w:lang w:val="fr-CA"/>
        </w:rPr>
      </w:pPr>
      <w:r w:rsidRPr="00CD0B70">
        <w:rPr>
          <w:lang w:val="fr-CA"/>
        </w:rPr>
        <w:t>· Au cours du dernier exercice financier, nous avons traité un total de 92 dossiers de dotation.</w:t>
      </w:r>
    </w:p>
    <w:p w14:paraId="7661D184" w14:textId="77777777" w:rsidR="00CD0B70" w:rsidRPr="00CD0B70" w:rsidRDefault="00CD0B70" w:rsidP="00CD0B70">
      <w:pPr>
        <w:pStyle w:val="NormalWeb"/>
        <w:rPr>
          <w:lang w:val="fr-CA"/>
        </w:rPr>
      </w:pPr>
      <w:r w:rsidRPr="00CD0B70">
        <w:rPr>
          <w:lang w:val="fr-CA"/>
        </w:rPr>
        <w:t>(La répartition par type de mesure de dotation et par section/détachement figure dans la présentation)</w:t>
      </w:r>
    </w:p>
    <w:p w14:paraId="21AFB7C8" w14:textId="692AAD56" w:rsidR="00CD0B70" w:rsidRPr="00CD0B70" w:rsidRDefault="00CD0B70" w:rsidP="00CD0B70">
      <w:pPr>
        <w:pStyle w:val="NormalWeb"/>
        <w:rPr>
          <w:lang w:val="fr-CA"/>
        </w:rPr>
      </w:pPr>
      <w:r>
        <w:rPr>
          <w:lang w:val="fr-CA"/>
        </w:rPr>
        <w:t>ETS</w:t>
      </w:r>
      <w:r w:rsidRPr="00CD0B70">
        <w:rPr>
          <w:lang w:val="fr-CA"/>
        </w:rPr>
        <w:t xml:space="preserve"> :</w:t>
      </w:r>
    </w:p>
    <w:p w14:paraId="6D2A2CD3" w14:textId="77777777" w:rsidR="00CD0B70" w:rsidRPr="00CD0B70" w:rsidRDefault="00CD0B70" w:rsidP="00CD0B70">
      <w:pPr>
        <w:pStyle w:val="NormalWeb"/>
        <w:rPr>
          <w:lang w:val="fr-CA"/>
        </w:rPr>
      </w:pPr>
      <w:r w:rsidRPr="00CD0B70">
        <w:rPr>
          <w:lang w:val="fr-CA"/>
        </w:rPr>
        <w:t>Exercice 26/27 :</w:t>
      </w:r>
    </w:p>
    <w:p w14:paraId="06068B33" w14:textId="77777777" w:rsidR="00CD0B70" w:rsidRPr="00CD0B70" w:rsidRDefault="00CD0B70" w:rsidP="00CD0B70">
      <w:pPr>
        <w:pStyle w:val="NormalWeb"/>
        <w:rPr>
          <w:lang w:val="fr-CA"/>
        </w:rPr>
      </w:pPr>
      <w:r w:rsidRPr="00CD0B70">
        <w:rPr>
          <w:lang w:val="fr-CA"/>
        </w:rPr>
        <w:t>Allocation : 25 493 896 $</w:t>
      </w:r>
    </w:p>
    <w:p w14:paraId="4416D069" w14:textId="77777777" w:rsidR="00CD0B70" w:rsidRPr="00CD0B70" w:rsidRDefault="00CD0B70" w:rsidP="00CD0B70">
      <w:pPr>
        <w:pStyle w:val="NormalWeb"/>
        <w:rPr>
          <w:lang w:val="fr-CA"/>
        </w:rPr>
      </w:pPr>
      <w:r w:rsidRPr="00CD0B70">
        <w:rPr>
          <w:lang w:val="fr-CA"/>
        </w:rPr>
        <w:t>Prévisions actuelles : 29 311 137 $</w:t>
      </w:r>
    </w:p>
    <w:p w14:paraId="3A461E6B" w14:textId="77777777" w:rsidR="00CD0B70" w:rsidRPr="00CD0B70" w:rsidRDefault="00CD0B70" w:rsidP="00CD0B70">
      <w:pPr>
        <w:pStyle w:val="NormalWeb"/>
        <w:rPr>
          <w:lang w:val="fr-CA"/>
        </w:rPr>
      </w:pPr>
      <w:r w:rsidRPr="00CD0B70">
        <w:rPr>
          <w:lang w:val="fr-CA"/>
        </w:rPr>
        <w:t>14,97 % au-dessus de l'allocation (3 817 241 $)</w:t>
      </w:r>
    </w:p>
    <w:p w14:paraId="2F09B348" w14:textId="77777777" w:rsidR="00CD0B70" w:rsidRPr="00CD0B70" w:rsidRDefault="00CD0B70" w:rsidP="00CD0B70">
      <w:pPr>
        <w:pStyle w:val="NormalWeb"/>
        <w:rPr>
          <w:lang w:val="fr-CA"/>
        </w:rPr>
      </w:pPr>
      <w:r w:rsidRPr="00CD0B70">
        <w:rPr>
          <w:lang w:val="fr-CA"/>
        </w:rPr>
        <w:t>*Le commandement a autorisé Pacific à dépasser son budget de 30 %</w:t>
      </w:r>
    </w:p>
    <w:p w14:paraId="222FA4C7" w14:textId="77777777" w:rsidR="00CD0B70" w:rsidRPr="00CD0B70" w:rsidRDefault="00CD0B70" w:rsidP="00CD0B70">
      <w:pPr>
        <w:pStyle w:val="NormalWeb"/>
        <w:rPr>
          <w:lang w:val="fr-CA"/>
        </w:rPr>
      </w:pPr>
      <w:r w:rsidRPr="00CD0B70">
        <w:rPr>
          <w:lang w:val="fr-CA"/>
        </w:rPr>
        <w:t>Exercice 25/26 :</w:t>
      </w:r>
    </w:p>
    <w:p w14:paraId="18D1350C" w14:textId="77777777" w:rsidR="00CD0B70" w:rsidRPr="00CD0B70" w:rsidRDefault="00CD0B70" w:rsidP="00CD0B70">
      <w:pPr>
        <w:pStyle w:val="NormalWeb"/>
        <w:rPr>
          <w:lang w:val="fr-CA"/>
        </w:rPr>
      </w:pPr>
      <w:r w:rsidRPr="00CD0B70">
        <w:rPr>
          <w:lang w:val="fr-CA"/>
        </w:rPr>
        <w:t>Allocation : 24,4 millions de dollars</w:t>
      </w:r>
    </w:p>
    <w:p w14:paraId="2CECBD2A" w14:textId="77777777" w:rsidR="00CD0B70" w:rsidRPr="00CD0B70" w:rsidRDefault="00CD0B70" w:rsidP="00CD0B70">
      <w:pPr>
        <w:pStyle w:val="NormalWeb"/>
        <w:rPr>
          <w:lang w:val="fr-CA"/>
        </w:rPr>
      </w:pPr>
      <w:r w:rsidRPr="00CD0B70">
        <w:rPr>
          <w:lang w:val="fr-CA"/>
        </w:rPr>
        <w:t>Prévisions actuelles : 24 502 439 $</w:t>
      </w:r>
    </w:p>
    <w:p w14:paraId="1121C9C1" w14:textId="77777777" w:rsidR="00CD0B70" w:rsidRPr="00CD0B70" w:rsidRDefault="00CD0B70" w:rsidP="00CD0B70">
      <w:pPr>
        <w:pStyle w:val="NormalWeb"/>
        <w:rPr>
          <w:lang w:val="fr-CA"/>
        </w:rPr>
      </w:pPr>
      <w:r w:rsidRPr="00CD0B70">
        <w:rPr>
          <w:lang w:val="fr-CA"/>
        </w:rPr>
        <w:t>0,42 % de dépassement de l'allocation (102 439 $)</w:t>
      </w:r>
    </w:p>
    <w:p w14:paraId="72A5F0C1" w14:textId="77777777" w:rsidR="00CD0B70" w:rsidRDefault="00CD0B70" w:rsidP="00CD0B70">
      <w:pPr>
        <w:pStyle w:val="NormalWeb"/>
        <w:rPr>
          <w:lang w:val="fr-CA"/>
        </w:rPr>
      </w:pPr>
    </w:p>
    <w:p w14:paraId="5845AE41" w14:textId="2548BDCC" w:rsidR="00CD0B70" w:rsidRPr="00CD0B70" w:rsidRDefault="00CD0B70" w:rsidP="00CD0B70">
      <w:pPr>
        <w:pStyle w:val="NormalWeb"/>
        <w:rPr>
          <w:lang w:val="fr-CA"/>
        </w:rPr>
      </w:pPr>
      <w:r w:rsidRPr="00CD0B70">
        <w:rPr>
          <w:lang w:val="fr-CA"/>
        </w:rPr>
        <w:lastRenderedPageBreak/>
        <w:t>Départs naturels :</w:t>
      </w:r>
    </w:p>
    <w:p w14:paraId="341A6D01" w14:textId="77777777" w:rsidR="00CD0B70" w:rsidRDefault="00CD0B70" w:rsidP="00CD0B70">
      <w:pPr>
        <w:pStyle w:val="NormalWeb"/>
        <w:spacing w:before="0" w:beforeAutospacing="0" w:after="0" w:afterAutospacing="0"/>
        <w:rPr>
          <w:lang w:val="fr-CA"/>
        </w:rPr>
      </w:pPr>
      <w:r w:rsidRPr="00CD0B70">
        <w:rPr>
          <w:lang w:val="fr-CA"/>
        </w:rPr>
        <w:t xml:space="preserve">Départs naturels du 1er avril 2025 au 31 mars 2026 : nous avons enregistré un total de 17 départs à la retraite ou démissions (7 CMX, 8 ESQ, 1 CWK, 1 RHQ). Nous prévoyons potentiellement 2 départs à la retraite supplémentaires avant la fin de l'exercice (CMX, RHQ), et 3 autres au cours du prochain exercice (1 CMX, 2 ESQ). Données historiques sur les départs à la retraite provenant de </w:t>
      </w:r>
      <w:r>
        <w:rPr>
          <w:lang w:val="fr-CA"/>
        </w:rPr>
        <w:t>RH</w:t>
      </w:r>
      <w:r w:rsidRPr="00CD0B70">
        <w:rPr>
          <w:lang w:val="fr-CA"/>
        </w:rPr>
        <w:t>-</w:t>
      </w:r>
      <w:proofErr w:type="spellStart"/>
      <w:r w:rsidRPr="00CD0B70">
        <w:rPr>
          <w:lang w:val="fr-CA"/>
        </w:rPr>
        <w:t>Civ</w:t>
      </w:r>
      <w:proofErr w:type="spellEnd"/>
      <w:r w:rsidRPr="00CD0B70">
        <w:rPr>
          <w:lang w:val="fr-CA"/>
        </w:rPr>
        <w:t xml:space="preserve"> (Tableau de bord des départs à la retraite - Power BI). </w:t>
      </w:r>
    </w:p>
    <w:p w14:paraId="043AD5D9" w14:textId="71430B6E" w:rsidR="00CD0B70" w:rsidRPr="00CD0B70" w:rsidRDefault="00CD0B70" w:rsidP="00CD0B70">
      <w:pPr>
        <w:pStyle w:val="NormalWeb"/>
        <w:spacing w:before="0" w:beforeAutospacing="0" w:after="0" w:afterAutospacing="0"/>
        <w:rPr>
          <w:lang w:val="fr-CA"/>
        </w:rPr>
      </w:pPr>
      <w:r w:rsidRPr="00CD0B70">
        <w:rPr>
          <w:i/>
          <w:iCs/>
          <w:lang w:val="fr-CA"/>
        </w:rPr>
        <w:t>Voir le document dans les ressources de référence.</w:t>
      </w:r>
    </w:p>
    <w:p w14:paraId="602A9E54" w14:textId="235000E9" w:rsidR="00CD0B70" w:rsidRPr="00CD0B70" w:rsidRDefault="00CD0B70" w:rsidP="00CD0B70">
      <w:pPr>
        <w:pStyle w:val="NormalWeb"/>
        <w:rPr>
          <w:lang w:val="fr-CA"/>
        </w:rPr>
      </w:pPr>
      <w:r w:rsidRPr="00CD0B70">
        <w:rPr>
          <w:lang w:val="fr-CA"/>
        </w:rPr>
        <w:t xml:space="preserve">La base, </w:t>
      </w:r>
      <w:r>
        <w:rPr>
          <w:lang w:val="fr-CA"/>
        </w:rPr>
        <w:t>UOI</w:t>
      </w:r>
      <w:r w:rsidRPr="00CD0B70">
        <w:rPr>
          <w:lang w:val="fr-CA"/>
        </w:rPr>
        <w:t xml:space="preserve"> et d'autres unités hébergées organisent un salon de l'emploi dans l'espoir d'attirer de nouveaux employés ; il a été difficile de recruter du personnel dans les nouveaux métiers en raison des salaires plus bas par rapport à ceux d'autres employeurs.</w:t>
      </w:r>
    </w:p>
    <w:p w14:paraId="5E08D4B4" w14:textId="77777777" w:rsidR="00CD0B70" w:rsidRPr="00CD0B70" w:rsidRDefault="00CD0B70" w:rsidP="00CD0B70">
      <w:pPr>
        <w:pStyle w:val="NormalWeb"/>
        <w:rPr>
          <w:lang w:val="fr-CA"/>
        </w:rPr>
      </w:pPr>
      <w:r w:rsidRPr="00CD0B70">
        <w:rPr>
          <w:lang w:val="fr-CA"/>
        </w:rPr>
        <w:t>Le personnel du plan de chauffage de Comox, le syndicat et la direction se sont réunis pour discuter des problèmes persistants liés aux nouvelles chaudières installées qui ne répondent pas aux spécifications. Nos membres ont exercé leur droit de refuser de travailler jusqu’à ce que les travaux soient achevés et que tous les problèmes soient résolus. La direction a accepté et s’emploie actuellement à effectuer les travaux nécessaires. J’ai posé une question concernant la sous-traitance de la gestion des installations pour ces deux plans de chauffage. À l’heure actuelle, les deux plans disposent d’un effectif complet et n’ont pas l’intention de sous-traiter ces travaux.</w:t>
      </w:r>
    </w:p>
    <w:p w14:paraId="13D4F594" w14:textId="4270EC21" w:rsidR="00CD0B70" w:rsidRPr="00CD0B70" w:rsidRDefault="00CD0B70" w:rsidP="00CD0B70">
      <w:pPr>
        <w:pStyle w:val="NormalWeb"/>
        <w:rPr>
          <w:lang w:val="fr-CA"/>
        </w:rPr>
      </w:pPr>
      <w:r w:rsidRPr="00CD0B70">
        <w:rPr>
          <w:lang w:val="fr-CA"/>
        </w:rPr>
        <w:t xml:space="preserve">Deux nouveaux immeubles d'appartements ont été achetés par RP Ops et la </w:t>
      </w:r>
      <w:r>
        <w:rPr>
          <w:lang w:val="fr-CA"/>
        </w:rPr>
        <w:t>ALFC</w:t>
      </w:r>
      <w:r w:rsidRPr="00CD0B70">
        <w:rPr>
          <w:lang w:val="fr-CA"/>
        </w:rPr>
        <w:t xml:space="preserve"> : l'un se trouve à View Royal, près d'</w:t>
      </w:r>
      <w:proofErr w:type="spellStart"/>
      <w:r w:rsidRPr="00CD0B70">
        <w:rPr>
          <w:lang w:val="fr-CA"/>
        </w:rPr>
        <w:t>Esquimalt</w:t>
      </w:r>
      <w:proofErr w:type="spellEnd"/>
      <w:r w:rsidRPr="00CD0B70">
        <w:rPr>
          <w:lang w:val="fr-CA"/>
        </w:rPr>
        <w:t xml:space="preserve"> ; il compte 37 logements et sera géré par la </w:t>
      </w:r>
      <w:r>
        <w:rPr>
          <w:lang w:val="fr-CA"/>
        </w:rPr>
        <w:t>ALFC</w:t>
      </w:r>
      <w:r w:rsidRPr="00CD0B70">
        <w:rPr>
          <w:lang w:val="fr-CA"/>
        </w:rPr>
        <w:t xml:space="preserve"> ; 7 logements sont déjà occupés ; l'autre se trouve à Comox/Courteney ; il compte 52 logements et sera géré par </w:t>
      </w:r>
      <w:r>
        <w:rPr>
          <w:lang w:val="fr-CA"/>
        </w:rPr>
        <w:t>UOI</w:t>
      </w:r>
      <w:r w:rsidRPr="00CD0B70">
        <w:rPr>
          <w:lang w:val="fr-CA"/>
        </w:rPr>
        <w:t xml:space="preserve"> ; celui-ci est destiné à héberger le personnel militaire pendant ses entraînements.</w:t>
      </w:r>
    </w:p>
    <w:p w14:paraId="6BDDEFBA" w14:textId="77777777" w:rsidR="00CD0B70" w:rsidRPr="00CD0B70" w:rsidRDefault="00CD0B70" w:rsidP="00CD0B70">
      <w:pPr>
        <w:pStyle w:val="NormalWeb"/>
        <w:rPr>
          <w:lang w:val="fr-CA"/>
        </w:rPr>
      </w:pPr>
      <w:r w:rsidRPr="00CD0B70">
        <w:rPr>
          <w:lang w:val="fr-CA"/>
        </w:rPr>
        <w:t>Corcan figurait une nouvelle fois à l'ordre du jour, et j'ai fait part de mes inquiétudes quant au fait qu'ils semblent toujours chercher des moyens de sous-traiter les travaux. J'ai également souligné qu'avec tous les fonds supplémentaires que nous recevons, ils ne surveillent pas de près la manière dont ils vont les dépenser et ne réalisent aucune analyse de rentabilité pour déterminer s'il est moins coûteux de faire effectuer les travaux en interne plutôt que de les sous-traiter, ni où l'argent pourrait être mieux dépensé.</w:t>
      </w:r>
    </w:p>
    <w:p w14:paraId="3B4CAB89" w14:textId="7708EAF3" w:rsidR="00DD7F69" w:rsidRPr="00CD0B70" w:rsidRDefault="00DD7F69" w:rsidP="00DD7F69">
      <w:pPr>
        <w:jc w:val="both"/>
        <w:rPr>
          <w:rFonts w:ascii="Baguet Script" w:hAnsi="Baguet Script"/>
          <w:i/>
          <w:iCs/>
          <w:color w:val="0070C0"/>
          <w:sz w:val="36"/>
          <w:szCs w:val="36"/>
          <w:lang w:val="fr-CA"/>
        </w:rPr>
      </w:pPr>
      <w:r w:rsidRPr="00CD0B70">
        <w:rPr>
          <w:rFonts w:ascii="Baguet Script" w:hAnsi="Baguet Script"/>
          <w:i/>
          <w:iCs/>
          <w:color w:val="0070C0"/>
          <w:sz w:val="36"/>
          <w:szCs w:val="36"/>
          <w:lang w:val="fr-CA"/>
        </w:rPr>
        <w:t>Respec</w:t>
      </w:r>
      <w:r w:rsidR="00CD0B70" w:rsidRPr="00CD0B70">
        <w:rPr>
          <w:rFonts w:ascii="Baguet Script" w:hAnsi="Baguet Script"/>
          <w:i/>
          <w:iCs/>
          <w:color w:val="0070C0"/>
          <w:sz w:val="36"/>
          <w:szCs w:val="36"/>
          <w:lang w:val="fr-CA"/>
        </w:rPr>
        <w:t>tueusement soumis p</w:t>
      </w:r>
      <w:r w:rsidR="00CD0B70">
        <w:rPr>
          <w:rFonts w:ascii="Baguet Script" w:hAnsi="Baguet Script"/>
          <w:i/>
          <w:iCs/>
          <w:color w:val="0070C0"/>
          <w:sz w:val="36"/>
          <w:szCs w:val="36"/>
          <w:lang w:val="fr-CA"/>
        </w:rPr>
        <w:t>ar</w:t>
      </w:r>
    </w:p>
    <w:p w14:paraId="075D84CF" w14:textId="2C2A63CA" w:rsidR="00DD7F69" w:rsidRPr="00CD0B70" w:rsidRDefault="00DD7F69" w:rsidP="00DD7F69">
      <w:pPr>
        <w:jc w:val="both"/>
        <w:rPr>
          <w:rFonts w:ascii="Baguet Script" w:hAnsi="Baguet Script"/>
          <w:i/>
          <w:iCs/>
          <w:color w:val="0070C0"/>
          <w:sz w:val="36"/>
          <w:szCs w:val="36"/>
          <w:lang w:val="fr-CA"/>
        </w:rPr>
      </w:pPr>
      <w:r w:rsidRPr="00CD0B70">
        <w:rPr>
          <w:rFonts w:ascii="Baguet Script" w:hAnsi="Baguet Script"/>
          <w:i/>
          <w:iCs/>
          <w:color w:val="0070C0"/>
          <w:sz w:val="36"/>
          <w:szCs w:val="36"/>
          <w:lang w:val="fr-CA"/>
        </w:rPr>
        <w:t xml:space="preserve">VP BC </w:t>
      </w:r>
    </w:p>
    <w:p w14:paraId="24C4E320" w14:textId="52326EDE" w:rsidR="001D1F29" w:rsidRPr="007A3934" w:rsidRDefault="00DD7F69" w:rsidP="008F6C5A">
      <w:pPr>
        <w:jc w:val="both"/>
        <w:rPr>
          <w:sz w:val="28"/>
          <w:szCs w:val="28"/>
        </w:rPr>
      </w:pPr>
      <w:r w:rsidRPr="00DD7F69">
        <w:rPr>
          <w:rFonts w:ascii="Baguet Script" w:hAnsi="Baguet Script"/>
          <w:i/>
          <w:iCs/>
          <w:color w:val="0070C0"/>
          <w:sz w:val="36"/>
          <w:szCs w:val="36"/>
        </w:rPr>
        <w:t>Marcelo Lazaro</w:t>
      </w:r>
    </w:p>
    <w:sectPr w:rsidR="001D1F29" w:rsidRPr="007A393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A800E" w14:textId="77777777" w:rsidR="002F4147" w:rsidRDefault="002F4147" w:rsidP="00826C53">
      <w:pPr>
        <w:spacing w:after="0" w:line="240" w:lineRule="auto"/>
      </w:pPr>
      <w:r>
        <w:separator/>
      </w:r>
    </w:p>
  </w:endnote>
  <w:endnote w:type="continuationSeparator" w:id="0">
    <w:p w14:paraId="3CF85A19" w14:textId="77777777" w:rsidR="002F4147" w:rsidRDefault="002F4147" w:rsidP="00826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3A25E" w14:textId="77777777" w:rsidR="002F4147" w:rsidRDefault="002F4147" w:rsidP="00826C53">
      <w:pPr>
        <w:spacing w:after="0" w:line="240" w:lineRule="auto"/>
      </w:pPr>
      <w:r>
        <w:separator/>
      </w:r>
    </w:p>
  </w:footnote>
  <w:footnote w:type="continuationSeparator" w:id="0">
    <w:p w14:paraId="56FEC808" w14:textId="77777777" w:rsidR="002F4147" w:rsidRDefault="002F4147" w:rsidP="00826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C8C5" w14:textId="72C2DF72" w:rsidR="00826C53" w:rsidRPr="00826C53" w:rsidRDefault="00826C53" w:rsidP="00826C53">
    <w:pPr>
      <w:spacing w:after="0" w:line="240" w:lineRule="auto"/>
      <w:jc w:val="center"/>
      <w:rPr>
        <w:rFonts w:ascii="Times New Roman" w:eastAsia="Times New Roman" w:hAnsi="Times New Roman" w:cs="Times New Roman"/>
        <w:color w:val="0000FF"/>
        <w:kern w:val="0"/>
        <w14:ligatures w14:val="none"/>
      </w:rPr>
    </w:pPr>
    <w:r w:rsidRPr="00826C53">
      <w:rPr>
        <w:rFonts w:ascii="Times New Roman" w:eastAsia="Times New Roman" w:hAnsi="Times New Roman" w:cs="Times New Roman"/>
        <w:noProof/>
        <w:color w:val="0000FF"/>
        <w:kern w:val="0"/>
        <w14:ligatures w14:val="none"/>
      </w:rPr>
      <w:drawing>
        <wp:anchor distT="0" distB="0" distL="114300" distR="114300" simplePos="0" relativeHeight="251659264" behindDoc="1" locked="0" layoutInCell="1" allowOverlap="1" wp14:anchorId="6841330A" wp14:editId="163E655A">
          <wp:simplePos x="0" y="0"/>
          <wp:positionH relativeFrom="column">
            <wp:posOffset>19050</wp:posOffset>
          </wp:positionH>
          <wp:positionV relativeFrom="paragraph">
            <wp:posOffset>0</wp:posOffset>
          </wp:positionV>
          <wp:extent cx="647700" cy="695325"/>
          <wp:effectExtent l="0" t="0" r="0" b="9525"/>
          <wp:wrapTight wrapText="bothSides">
            <wp:wrapPolygon edited="0">
              <wp:start x="0" y="0"/>
              <wp:lineTo x="0" y="21304"/>
              <wp:lineTo x="20965" y="21304"/>
              <wp:lineTo x="20965" y="0"/>
              <wp:lineTo x="0" y="0"/>
            </wp:wrapPolygon>
          </wp:wrapTight>
          <wp:docPr id="627860420" name="Picture 2"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6C53">
      <w:rPr>
        <w:rFonts w:ascii="Times New Roman" w:eastAsia="Times New Roman" w:hAnsi="Times New Roman" w:cs="Times New Roman"/>
        <w:noProof/>
        <w:color w:val="0000FF"/>
        <w:kern w:val="0"/>
        <w14:ligatures w14:val="none"/>
      </w:rPr>
      <w:drawing>
        <wp:anchor distT="0" distB="0" distL="114300" distR="114300" simplePos="0" relativeHeight="251660288" behindDoc="1" locked="0" layoutInCell="1" allowOverlap="1" wp14:anchorId="284FE6C5" wp14:editId="27D9F717">
          <wp:simplePos x="0" y="0"/>
          <wp:positionH relativeFrom="column">
            <wp:posOffset>6096000</wp:posOffset>
          </wp:positionH>
          <wp:positionV relativeFrom="paragraph">
            <wp:posOffset>0</wp:posOffset>
          </wp:positionV>
          <wp:extent cx="628650" cy="676275"/>
          <wp:effectExtent l="0" t="0" r="0" b="9525"/>
          <wp:wrapTight wrapText="bothSides">
            <wp:wrapPolygon edited="0">
              <wp:start x="0" y="0"/>
              <wp:lineTo x="0" y="21296"/>
              <wp:lineTo x="20945" y="21296"/>
              <wp:lineTo x="20945" y="0"/>
              <wp:lineTo x="0" y="0"/>
            </wp:wrapPolygon>
          </wp:wrapTight>
          <wp:docPr id="2085112571" name="Picture 1"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6C53">
      <w:rPr>
        <w:rFonts w:ascii="Arial Black" w:eastAsia="Times New Roman" w:hAnsi="Arial Black" w:cs="Times New Roman"/>
        <w:color w:val="0000FF"/>
        <w:kern w:val="0"/>
        <w14:ligatures w14:val="none"/>
      </w:rPr>
      <w:t>UNION OF NATIONAL DEFENCE EMPLOYEES</w:t>
    </w:r>
  </w:p>
  <w:p w14:paraId="7BA6DFB1" w14:textId="77777777" w:rsidR="00826C53" w:rsidRPr="00826C53" w:rsidRDefault="00826C53" w:rsidP="00826C53">
    <w:pPr>
      <w:spacing w:after="0" w:line="240" w:lineRule="auto"/>
      <w:jc w:val="center"/>
      <w:rPr>
        <w:rFonts w:ascii="Times New Roman" w:eastAsia="Times New Roman" w:hAnsi="Times New Roman" w:cs="Times New Roman"/>
        <w:i/>
        <w:color w:val="0000FF"/>
        <w:kern w:val="0"/>
        <w:sz w:val="20"/>
        <w:szCs w:val="20"/>
        <w14:ligatures w14:val="none"/>
      </w:rPr>
    </w:pPr>
    <w:r w:rsidRPr="00826C53">
      <w:rPr>
        <w:rFonts w:ascii="Times New Roman" w:eastAsia="Times New Roman" w:hAnsi="Times New Roman" w:cs="Times New Roman"/>
        <w:i/>
        <w:color w:val="0000FF"/>
        <w:kern w:val="0"/>
        <w:sz w:val="20"/>
        <w:szCs w:val="20"/>
        <w14:ligatures w14:val="none"/>
      </w:rPr>
      <w:t>a component of the Public Service Alliance of Canada</w:t>
    </w:r>
  </w:p>
  <w:p w14:paraId="4BE076FF" w14:textId="77777777" w:rsidR="00826C53" w:rsidRPr="00826C53" w:rsidRDefault="00826C53" w:rsidP="00826C53">
    <w:pPr>
      <w:spacing w:after="0" w:line="240" w:lineRule="auto"/>
      <w:jc w:val="center"/>
      <w:rPr>
        <w:rFonts w:ascii="Times New Roman" w:eastAsia="Times New Roman" w:hAnsi="Times New Roman" w:cs="Times New Roman"/>
        <w:b/>
        <w:color w:val="FF0000"/>
        <w:kern w:val="0"/>
        <w:lang w:val="fr-CA"/>
        <w14:ligatures w14:val="none"/>
      </w:rPr>
    </w:pPr>
    <w:r w:rsidRPr="00826C53">
      <w:rPr>
        <w:rFonts w:ascii="Times New Roman" w:eastAsia="Times New Roman" w:hAnsi="Times New Roman" w:cs="Times New Roman"/>
        <w:b/>
        <w:color w:val="FF0000"/>
        <w:kern w:val="0"/>
        <w:lang w:val="fr-CA"/>
        <w14:ligatures w14:val="none"/>
      </w:rPr>
      <w:t>_________________________________________________________</w:t>
    </w:r>
  </w:p>
  <w:p w14:paraId="7D41EB7A" w14:textId="77777777" w:rsidR="00826C53" w:rsidRPr="00826C53" w:rsidRDefault="00826C53" w:rsidP="00826C53">
    <w:pPr>
      <w:spacing w:after="0" w:line="240" w:lineRule="auto"/>
      <w:jc w:val="center"/>
      <w:rPr>
        <w:rFonts w:ascii="Times New Roman" w:eastAsia="Times New Roman" w:hAnsi="Times New Roman" w:cs="Times New Roman"/>
        <w:i/>
        <w:kern w:val="0"/>
        <w:sz w:val="20"/>
        <w:szCs w:val="20"/>
        <w:lang w:val="fr-CA"/>
        <w14:ligatures w14:val="none"/>
      </w:rPr>
    </w:pPr>
  </w:p>
  <w:p w14:paraId="64F3952A" w14:textId="77777777" w:rsidR="00826C53" w:rsidRPr="00826C53" w:rsidRDefault="00826C53" w:rsidP="00826C53">
    <w:pPr>
      <w:spacing w:after="0" w:line="240" w:lineRule="auto"/>
      <w:jc w:val="center"/>
      <w:rPr>
        <w:rFonts w:ascii="Arial Black" w:eastAsia="Times New Roman" w:hAnsi="Arial Black" w:cs="Times New Roman"/>
        <w:color w:val="0000FF"/>
        <w:kern w:val="0"/>
        <w:lang w:val="fr-CA"/>
        <w14:ligatures w14:val="none"/>
      </w:rPr>
    </w:pPr>
    <w:r w:rsidRPr="00826C53">
      <w:rPr>
        <w:rFonts w:ascii="Arial Black" w:eastAsia="Times New Roman" w:hAnsi="Arial Black" w:cs="Times New Roman"/>
        <w:color w:val="0000FF"/>
        <w:kern w:val="0"/>
        <w:lang w:val="fr-CA"/>
        <w14:ligatures w14:val="none"/>
      </w:rPr>
      <w:t>UNION DES EMPLOYÉS DE LA DÉFENSE NATIONALE</w:t>
    </w:r>
  </w:p>
  <w:p w14:paraId="6FAE512F" w14:textId="77777777" w:rsidR="00826C53" w:rsidRPr="00826C53" w:rsidRDefault="00826C53" w:rsidP="00826C53">
    <w:pPr>
      <w:spacing w:after="0" w:line="240" w:lineRule="auto"/>
      <w:jc w:val="center"/>
      <w:rPr>
        <w:rFonts w:ascii="Times New Roman" w:eastAsia="Times New Roman" w:hAnsi="Times New Roman" w:cs="Times New Roman"/>
        <w:kern w:val="0"/>
        <w:lang w:val="fr-CA"/>
        <w14:ligatures w14:val="none"/>
      </w:rPr>
    </w:pPr>
    <w:proofErr w:type="gramStart"/>
    <w:r w:rsidRPr="00826C53">
      <w:rPr>
        <w:rFonts w:ascii="Times New Roman" w:eastAsia="Times New Roman" w:hAnsi="Times New Roman" w:cs="Times New Roman"/>
        <w:i/>
        <w:color w:val="0000FF"/>
        <w:kern w:val="0"/>
        <w:sz w:val="20"/>
        <w:szCs w:val="20"/>
        <w:lang w:val="fr-CA"/>
        <w14:ligatures w14:val="none"/>
      </w:rPr>
      <w:t>un</w:t>
    </w:r>
    <w:proofErr w:type="gramEnd"/>
    <w:r w:rsidRPr="00826C53">
      <w:rPr>
        <w:rFonts w:ascii="Times New Roman" w:eastAsia="Times New Roman" w:hAnsi="Times New Roman" w:cs="Times New Roman"/>
        <w:i/>
        <w:color w:val="0000FF"/>
        <w:kern w:val="0"/>
        <w:sz w:val="20"/>
        <w:szCs w:val="20"/>
        <w:lang w:val="fr-CA"/>
        <w14:ligatures w14:val="none"/>
      </w:rPr>
      <w:t xml:space="preserve"> élément de l’Alliance de la Fonction publique du Canada</w:t>
    </w:r>
  </w:p>
  <w:p w14:paraId="0D6D6B9E" w14:textId="77777777" w:rsidR="00826C53" w:rsidRPr="00826C53" w:rsidRDefault="00826C53" w:rsidP="00826C53">
    <w:pPr>
      <w:tabs>
        <w:tab w:val="center" w:pos="4680"/>
        <w:tab w:val="right" w:pos="9360"/>
      </w:tabs>
      <w:spacing w:after="0" w:line="240" w:lineRule="auto"/>
      <w:jc w:val="center"/>
      <w:rPr>
        <w:rFonts w:ascii="Times New Roman" w:eastAsia="Times New Roman" w:hAnsi="Times New Roman" w:cs="Times New Roman"/>
        <w:kern w:val="0"/>
        <w:lang w:val="fr-CA"/>
        <w14:ligatures w14:val="none"/>
      </w:rPr>
    </w:pPr>
  </w:p>
  <w:p w14:paraId="74339CF4" w14:textId="77777777" w:rsidR="00826C53" w:rsidRPr="00826C53" w:rsidRDefault="00826C53">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AD1"/>
    <w:multiLevelType w:val="hybridMultilevel"/>
    <w:tmpl w:val="88F6EDF0"/>
    <w:lvl w:ilvl="0" w:tplc="B04A724C">
      <w:start w:val="1"/>
      <w:numFmt w:val="bullet"/>
      <w:lvlText w:val="o"/>
      <w:lvlJc w:val="left"/>
      <w:pPr>
        <w:tabs>
          <w:tab w:val="num" w:pos="720"/>
        </w:tabs>
        <w:ind w:left="720" w:hanging="360"/>
      </w:pPr>
      <w:rPr>
        <w:rFonts w:ascii="Courier New" w:hAnsi="Courier New" w:hint="default"/>
      </w:rPr>
    </w:lvl>
    <w:lvl w:ilvl="1" w:tplc="28D86FD6">
      <w:start w:val="1"/>
      <w:numFmt w:val="bullet"/>
      <w:lvlText w:val="o"/>
      <w:lvlJc w:val="left"/>
      <w:pPr>
        <w:tabs>
          <w:tab w:val="num" w:pos="1440"/>
        </w:tabs>
        <w:ind w:left="1440" w:hanging="360"/>
      </w:pPr>
      <w:rPr>
        <w:rFonts w:ascii="Courier New" w:hAnsi="Courier New" w:hint="default"/>
      </w:rPr>
    </w:lvl>
    <w:lvl w:ilvl="2" w:tplc="F796C164" w:tentative="1">
      <w:start w:val="1"/>
      <w:numFmt w:val="bullet"/>
      <w:lvlText w:val="o"/>
      <w:lvlJc w:val="left"/>
      <w:pPr>
        <w:tabs>
          <w:tab w:val="num" w:pos="2160"/>
        </w:tabs>
        <w:ind w:left="2160" w:hanging="360"/>
      </w:pPr>
      <w:rPr>
        <w:rFonts w:ascii="Courier New" w:hAnsi="Courier New" w:hint="default"/>
      </w:rPr>
    </w:lvl>
    <w:lvl w:ilvl="3" w:tplc="B0A67CF8" w:tentative="1">
      <w:start w:val="1"/>
      <w:numFmt w:val="bullet"/>
      <w:lvlText w:val="o"/>
      <w:lvlJc w:val="left"/>
      <w:pPr>
        <w:tabs>
          <w:tab w:val="num" w:pos="2880"/>
        </w:tabs>
        <w:ind w:left="2880" w:hanging="360"/>
      </w:pPr>
      <w:rPr>
        <w:rFonts w:ascii="Courier New" w:hAnsi="Courier New" w:hint="default"/>
      </w:rPr>
    </w:lvl>
    <w:lvl w:ilvl="4" w:tplc="C52EFAEA" w:tentative="1">
      <w:start w:val="1"/>
      <w:numFmt w:val="bullet"/>
      <w:lvlText w:val="o"/>
      <w:lvlJc w:val="left"/>
      <w:pPr>
        <w:tabs>
          <w:tab w:val="num" w:pos="3600"/>
        </w:tabs>
        <w:ind w:left="3600" w:hanging="360"/>
      </w:pPr>
      <w:rPr>
        <w:rFonts w:ascii="Courier New" w:hAnsi="Courier New" w:hint="default"/>
      </w:rPr>
    </w:lvl>
    <w:lvl w:ilvl="5" w:tplc="659219DC" w:tentative="1">
      <w:start w:val="1"/>
      <w:numFmt w:val="bullet"/>
      <w:lvlText w:val="o"/>
      <w:lvlJc w:val="left"/>
      <w:pPr>
        <w:tabs>
          <w:tab w:val="num" w:pos="4320"/>
        </w:tabs>
        <w:ind w:left="4320" w:hanging="360"/>
      </w:pPr>
      <w:rPr>
        <w:rFonts w:ascii="Courier New" w:hAnsi="Courier New" w:hint="default"/>
      </w:rPr>
    </w:lvl>
    <w:lvl w:ilvl="6" w:tplc="66367B30" w:tentative="1">
      <w:start w:val="1"/>
      <w:numFmt w:val="bullet"/>
      <w:lvlText w:val="o"/>
      <w:lvlJc w:val="left"/>
      <w:pPr>
        <w:tabs>
          <w:tab w:val="num" w:pos="5040"/>
        </w:tabs>
        <w:ind w:left="5040" w:hanging="360"/>
      </w:pPr>
      <w:rPr>
        <w:rFonts w:ascii="Courier New" w:hAnsi="Courier New" w:hint="default"/>
      </w:rPr>
    </w:lvl>
    <w:lvl w:ilvl="7" w:tplc="6E88B98E" w:tentative="1">
      <w:start w:val="1"/>
      <w:numFmt w:val="bullet"/>
      <w:lvlText w:val="o"/>
      <w:lvlJc w:val="left"/>
      <w:pPr>
        <w:tabs>
          <w:tab w:val="num" w:pos="5760"/>
        </w:tabs>
        <w:ind w:left="5760" w:hanging="360"/>
      </w:pPr>
      <w:rPr>
        <w:rFonts w:ascii="Courier New" w:hAnsi="Courier New" w:hint="default"/>
      </w:rPr>
    </w:lvl>
    <w:lvl w:ilvl="8" w:tplc="2E54B600" w:tentative="1">
      <w:start w:val="1"/>
      <w:numFmt w:val="bullet"/>
      <w:lvlText w:val="o"/>
      <w:lvlJc w:val="left"/>
      <w:pPr>
        <w:tabs>
          <w:tab w:val="num" w:pos="6480"/>
        </w:tabs>
        <w:ind w:left="6480" w:hanging="360"/>
      </w:pPr>
      <w:rPr>
        <w:rFonts w:ascii="Courier New" w:hAnsi="Courier New" w:hint="default"/>
      </w:rPr>
    </w:lvl>
  </w:abstractNum>
  <w:num w:numId="1" w16cid:durableId="1657950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C53"/>
    <w:rsid w:val="001D1F29"/>
    <w:rsid w:val="00201B28"/>
    <w:rsid w:val="00296BC0"/>
    <w:rsid w:val="002F4147"/>
    <w:rsid w:val="00377739"/>
    <w:rsid w:val="00391686"/>
    <w:rsid w:val="0042251C"/>
    <w:rsid w:val="00504628"/>
    <w:rsid w:val="00576036"/>
    <w:rsid w:val="006B47B6"/>
    <w:rsid w:val="007078EB"/>
    <w:rsid w:val="00726D11"/>
    <w:rsid w:val="007A3934"/>
    <w:rsid w:val="007F6136"/>
    <w:rsid w:val="00816963"/>
    <w:rsid w:val="00826C53"/>
    <w:rsid w:val="008F6C5A"/>
    <w:rsid w:val="0094490A"/>
    <w:rsid w:val="00B923CF"/>
    <w:rsid w:val="00CC4521"/>
    <w:rsid w:val="00CD0B70"/>
    <w:rsid w:val="00D4777C"/>
    <w:rsid w:val="00DA71A3"/>
    <w:rsid w:val="00DD7F69"/>
    <w:rsid w:val="00EB59BA"/>
    <w:rsid w:val="00FF0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23713"/>
  <w15:chartTrackingRefBased/>
  <w15:docId w15:val="{40254B26-7D8C-44B8-8DFB-76FCFB31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C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C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C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C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C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C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C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C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C53"/>
    <w:rPr>
      <w:rFonts w:eastAsiaTheme="majorEastAsia" w:cstheme="majorBidi"/>
      <w:color w:val="272727" w:themeColor="text1" w:themeTint="D8"/>
    </w:rPr>
  </w:style>
  <w:style w:type="paragraph" w:styleId="Title">
    <w:name w:val="Title"/>
    <w:basedOn w:val="Normal"/>
    <w:next w:val="Normal"/>
    <w:link w:val="TitleChar"/>
    <w:uiPriority w:val="10"/>
    <w:qFormat/>
    <w:rsid w:val="00826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C53"/>
    <w:pPr>
      <w:spacing w:before="160"/>
      <w:jc w:val="center"/>
    </w:pPr>
    <w:rPr>
      <w:i/>
      <w:iCs/>
      <w:color w:val="404040" w:themeColor="text1" w:themeTint="BF"/>
    </w:rPr>
  </w:style>
  <w:style w:type="character" w:customStyle="1" w:styleId="QuoteChar">
    <w:name w:val="Quote Char"/>
    <w:basedOn w:val="DefaultParagraphFont"/>
    <w:link w:val="Quote"/>
    <w:uiPriority w:val="29"/>
    <w:rsid w:val="00826C53"/>
    <w:rPr>
      <w:i/>
      <w:iCs/>
      <w:color w:val="404040" w:themeColor="text1" w:themeTint="BF"/>
    </w:rPr>
  </w:style>
  <w:style w:type="paragraph" w:styleId="ListParagraph">
    <w:name w:val="List Paragraph"/>
    <w:basedOn w:val="Normal"/>
    <w:uiPriority w:val="34"/>
    <w:qFormat/>
    <w:rsid w:val="00826C53"/>
    <w:pPr>
      <w:ind w:left="720"/>
      <w:contextualSpacing/>
    </w:pPr>
  </w:style>
  <w:style w:type="character" w:styleId="IntenseEmphasis">
    <w:name w:val="Intense Emphasis"/>
    <w:basedOn w:val="DefaultParagraphFont"/>
    <w:uiPriority w:val="21"/>
    <w:qFormat/>
    <w:rsid w:val="00826C53"/>
    <w:rPr>
      <w:i/>
      <w:iCs/>
      <w:color w:val="0F4761" w:themeColor="accent1" w:themeShade="BF"/>
    </w:rPr>
  </w:style>
  <w:style w:type="paragraph" w:styleId="IntenseQuote">
    <w:name w:val="Intense Quote"/>
    <w:basedOn w:val="Normal"/>
    <w:next w:val="Normal"/>
    <w:link w:val="IntenseQuoteChar"/>
    <w:uiPriority w:val="30"/>
    <w:qFormat/>
    <w:rsid w:val="00826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C53"/>
    <w:rPr>
      <w:i/>
      <w:iCs/>
      <w:color w:val="0F4761" w:themeColor="accent1" w:themeShade="BF"/>
    </w:rPr>
  </w:style>
  <w:style w:type="character" w:styleId="IntenseReference">
    <w:name w:val="Intense Reference"/>
    <w:basedOn w:val="DefaultParagraphFont"/>
    <w:uiPriority w:val="32"/>
    <w:qFormat/>
    <w:rsid w:val="00826C53"/>
    <w:rPr>
      <w:b/>
      <w:bCs/>
      <w:smallCaps/>
      <w:color w:val="0F4761" w:themeColor="accent1" w:themeShade="BF"/>
      <w:spacing w:val="5"/>
    </w:rPr>
  </w:style>
  <w:style w:type="paragraph" w:styleId="Header">
    <w:name w:val="header"/>
    <w:basedOn w:val="Normal"/>
    <w:link w:val="HeaderChar"/>
    <w:uiPriority w:val="99"/>
    <w:unhideWhenUsed/>
    <w:rsid w:val="00826C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C53"/>
  </w:style>
  <w:style w:type="paragraph" w:styleId="Footer">
    <w:name w:val="footer"/>
    <w:basedOn w:val="Normal"/>
    <w:link w:val="FooterChar"/>
    <w:uiPriority w:val="99"/>
    <w:unhideWhenUsed/>
    <w:rsid w:val="00826C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C53"/>
  </w:style>
  <w:style w:type="paragraph" w:styleId="NormalWeb">
    <w:name w:val="Normal (Web)"/>
    <w:basedOn w:val="Normal"/>
    <w:uiPriority w:val="99"/>
    <w:semiHidden/>
    <w:unhideWhenUsed/>
    <w:rsid w:val="007A393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3</cp:revision>
  <dcterms:created xsi:type="dcterms:W3CDTF">2026-04-23T18:08:00Z</dcterms:created>
  <dcterms:modified xsi:type="dcterms:W3CDTF">2026-04-23T18:18:00Z</dcterms:modified>
</cp:coreProperties>
</file>