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xmlns:asvg="http://schemas.microsoft.com/office/drawing/2016/SVG/main" mc:Ignorable="w14 w15 w16se w16cid w16 w16cex w16sdtdh w16sdtfl w16du wp14">
  <w:body>
    <w:p w:rsidRPr="00CC0227" w:rsidR="00CC0227" w:rsidP="122FB839" w:rsidRDefault="00CC0227" w14:paraId="5132B667" w14:textId="790810D4">
      <w:pPr>
        <w:rPr>
          <w:rFonts w:ascii="Calibri" w:hAnsi="Calibri" w:cs="Calibri" w:asciiTheme="minorAscii" w:hAnsiTheme="minorAscii" w:cstheme="minorAscii"/>
          <w:sz w:val="22"/>
          <w:szCs w:val="22"/>
          <w:lang w:val="fr-CA"/>
        </w:rPr>
      </w:pPr>
      <w:r w:rsidRPr="122FB839" w:rsidR="122FB839">
        <w:rPr>
          <w:rFonts w:ascii="Calibri" w:hAnsi="Calibri" w:cs="Calibri" w:asciiTheme="minorAscii" w:hAnsiTheme="minorAscii" w:cstheme="minorAscii"/>
          <w:sz w:val="22"/>
          <w:szCs w:val="22"/>
          <w:lang w:val="fr-CA"/>
        </w:rPr>
        <w:t>99p</w:t>
      </w:r>
    </w:p>
    <w:p w:rsidRPr="00CC0227" w:rsidR="00CC0227" w:rsidP="00CC0227" w:rsidRDefault="00CC0227" w14:paraId="454AAFC2" w14:textId="679BF3EF">
      <w:pPr>
        <w:pStyle w:val="NormalWeb"/>
        <w:spacing w:before="0" w:beforeAutospacing="0" w:after="0" w:afterAutospacing="0"/>
        <w:jc w:val="center"/>
        <w:rPr>
          <w:lang w:val="fr-CA"/>
        </w:rPr>
      </w:pPr>
      <w:r w:rsidRPr="00CC0227">
        <w:rPr>
          <w:b/>
          <w:bCs/>
          <w:lang w:val="fr-CA"/>
        </w:rPr>
        <w:t>SM</w:t>
      </w:r>
      <w:r>
        <w:rPr>
          <w:b/>
          <w:bCs/>
          <w:lang w:val="fr-CA"/>
        </w:rPr>
        <w:t>A</w:t>
      </w:r>
      <w:r w:rsidRPr="00CC0227">
        <w:rPr>
          <w:b/>
          <w:bCs/>
          <w:lang w:val="fr-CA"/>
        </w:rPr>
        <w:t xml:space="preserve"> Infrastructure et Environnement – </w:t>
      </w:r>
      <w:r>
        <w:rPr>
          <w:b/>
          <w:bCs/>
          <w:lang w:val="fr-CA"/>
        </w:rPr>
        <w:t>CCSP</w:t>
      </w:r>
    </w:p>
    <w:p w:rsidRPr="00CC0227" w:rsidR="00CC0227" w:rsidP="00CC0227" w:rsidRDefault="00CC0227" w14:paraId="5D457D71" w14:textId="6EA17635">
      <w:pPr>
        <w:pStyle w:val="NormalWeb"/>
        <w:spacing w:before="0" w:beforeAutospacing="0" w:after="0" w:afterAutospacing="0"/>
        <w:jc w:val="center"/>
        <w:rPr>
          <w:lang w:val="fr-CA"/>
        </w:rPr>
      </w:pPr>
      <w:r w:rsidRPr="00CC0227">
        <w:rPr>
          <w:b/>
          <w:bCs/>
          <w:lang w:val="fr-CA"/>
        </w:rPr>
        <w:t xml:space="preserve">SMA(IE) – </w:t>
      </w:r>
      <w:r>
        <w:rPr>
          <w:b/>
          <w:bCs/>
          <w:lang w:val="fr-CA"/>
        </w:rPr>
        <w:t>CCSP</w:t>
      </w:r>
    </w:p>
    <w:p w:rsidRPr="00CC0227" w:rsidR="00CC0227" w:rsidP="00CC0227" w:rsidRDefault="00CC0227" w14:paraId="4DEA3B55" w14:textId="4340B2FC">
      <w:pPr>
        <w:pStyle w:val="NormalWeb"/>
        <w:spacing w:before="0" w:beforeAutospacing="0" w:after="0" w:afterAutospacing="0"/>
        <w:jc w:val="center"/>
        <w:rPr>
          <w:lang w:val="fr-CA"/>
        </w:rPr>
      </w:pPr>
      <w:r w:rsidRPr="00CC0227">
        <w:rPr>
          <w:b/>
          <w:bCs/>
          <w:lang w:val="fr-CA"/>
        </w:rPr>
        <w:t>Rapport pour la réunion de l'Exécutif national d'avril 2026</w:t>
      </w:r>
    </w:p>
    <w:p w:rsidRPr="00CC0227" w:rsidR="00CC0227" w:rsidP="00CC0227" w:rsidRDefault="00CC0227" w14:paraId="2DF2F935" w14:textId="08F943E6">
      <w:pPr>
        <w:pStyle w:val="NormalWeb"/>
        <w:rPr>
          <w:lang w:val="fr-CA"/>
        </w:rPr>
      </w:pPr>
      <w:r w:rsidRPr="00CC0227">
        <w:rPr>
          <w:lang w:val="fr-CA"/>
        </w:rPr>
        <w:t xml:space="preserve">La dernière réunion du SMA(IE) – </w:t>
      </w:r>
      <w:r>
        <w:rPr>
          <w:lang w:val="fr-CA"/>
        </w:rPr>
        <w:t>CCSP</w:t>
      </w:r>
      <w:r w:rsidRPr="00CC0227">
        <w:rPr>
          <w:lang w:val="fr-CA"/>
        </w:rPr>
        <w:t xml:space="preserve"> s'est tenue le 14 novembre 2025. La prochaine réunion est provisoirement prévue pour le 29 mai 2026.</w:t>
      </w:r>
    </w:p>
    <w:p w:rsidRPr="00CC0227" w:rsidR="00CC0227" w:rsidP="00CC0227" w:rsidRDefault="00CC0227" w14:paraId="5D4F2B1D" w14:textId="3883BC79">
      <w:pPr>
        <w:pStyle w:val="NormalWeb"/>
        <w:rPr>
          <w:lang w:val="fr-CA"/>
        </w:rPr>
      </w:pPr>
      <w:r w:rsidRPr="00CC0227">
        <w:rPr>
          <w:lang w:val="fr-CA"/>
        </w:rPr>
        <w:t>SMA(IE) Peter Hammerschmidt, le général de division Nicolas Pilon, chef d'état-major (IE), et le colonel Fortin, commandant du QG du Groupe d</w:t>
      </w:r>
      <w:r>
        <w:rPr>
          <w:lang w:val="fr-CA"/>
        </w:rPr>
        <w:t>u UOI</w:t>
      </w:r>
      <w:r w:rsidRPr="00CC0227">
        <w:rPr>
          <w:lang w:val="fr-CA"/>
        </w:rPr>
        <w:t>.</w:t>
      </w:r>
    </w:p>
    <w:p w:rsidRPr="00CC0227" w:rsidR="00CC0227" w:rsidP="00CC0227" w:rsidRDefault="00CC0227" w14:paraId="4843C655" w14:textId="77777777">
      <w:pPr>
        <w:pStyle w:val="NormalWeb"/>
        <w:rPr>
          <w:lang w:val="fr-CA"/>
        </w:rPr>
      </w:pPr>
      <w:r w:rsidRPr="00CC0227">
        <w:rPr>
          <w:lang w:val="fr-CA"/>
        </w:rPr>
        <w:t>Points à l'ordre du jour :</w:t>
      </w:r>
    </w:p>
    <w:p w:rsidRPr="00CC0227" w:rsidR="00CC0227" w:rsidP="00CC0227" w:rsidRDefault="00CC0227" w14:paraId="6B1C834B" w14:textId="338D39BA">
      <w:pPr>
        <w:pStyle w:val="NormalWeb"/>
        <w:rPr>
          <w:lang w:val="fr-CA"/>
        </w:rPr>
      </w:pPr>
      <w:r w:rsidRPr="122FB839" w:rsidR="122FB839">
        <w:rPr>
          <w:b w:val="1"/>
          <w:bCs w:val="1"/>
          <w:lang w:val="fr-CA"/>
        </w:rPr>
        <w:t>Le point sur la mise en place d'un comité de politique de santé et de sécurité du UOI</w:t>
      </w:r>
      <w:r w:rsidRPr="122FB839" w:rsidR="122FB839">
        <w:rPr>
          <w:lang w:val="fr-CA"/>
        </w:rPr>
        <w:t>. Le pcolonel Fortin fera le point lors de la prochaine réunion, mais il a fait remarquer qu'il n'existe qu'un seul comité de politique du MDN en matière de santé et de sécurité, tous les autres étant des organes consultatifs chargés de gérer localement des groupes de plus de 300 employés. Actuellement, le SMA(IE) veille à ce que chaque détachement dispose d’un comité de santé et de sécurité ou d’un responsable de la santé et de la sécurité lorsque les équipes sont de petite taille. Au niveau de la formation, il s’agit d’un organe de gestion chargé de mettre en œuvre et d’harmoniser la conformité.</w:t>
      </w:r>
    </w:p>
    <w:p w:rsidRPr="00CC0227" w:rsidR="00CC0227" w:rsidP="00CC0227" w:rsidRDefault="00CC0227" w14:paraId="6B42BD7E" w14:textId="77777777">
      <w:pPr>
        <w:pStyle w:val="NormalWeb"/>
        <w:rPr>
          <w:lang w:val="fr-CA"/>
        </w:rPr>
      </w:pPr>
      <w:r w:rsidRPr="00CC0227">
        <w:rPr>
          <w:b/>
          <w:bCs/>
          <w:lang w:val="fr-CA"/>
        </w:rPr>
        <w:t>Le point sur les exigences relatives au Sceau rouge.</w:t>
      </w:r>
      <w:r w:rsidRPr="00CC0227">
        <w:rPr>
          <w:lang w:val="fr-CA"/>
        </w:rPr>
        <w:t xml:space="preserve"> Une offre d’emploi publiée à l’externe pour un processus de candidature national indiquait que les candidats titulaires d’une qualification de niveau 5 </w:t>
      </w:r>
      <w:r w:rsidRPr="00CC0227">
        <w:rPr>
          <w:b/>
          <w:bCs/>
          <w:lang w:val="fr-CA"/>
        </w:rPr>
        <w:t>« pourraient »</w:t>
      </w:r>
      <w:r w:rsidRPr="00CC0227">
        <w:rPr>
          <w:lang w:val="fr-CA"/>
        </w:rPr>
        <w:t xml:space="preserve"> être invités à obtenir un Sceau rouge. L’UEDN a toujours affirmé que la formulation était </w:t>
      </w:r>
      <w:r w:rsidRPr="00CC0227">
        <w:rPr>
          <w:b/>
          <w:bCs/>
          <w:lang w:val="fr-CA"/>
        </w:rPr>
        <w:t xml:space="preserve">« </w:t>
      </w:r>
      <w:proofErr w:type="gramStart"/>
      <w:r w:rsidRPr="00CC0227">
        <w:rPr>
          <w:b/>
          <w:bCs/>
          <w:lang w:val="fr-CA"/>
        </w:rPr>
        <w:t>doivent</w:t>
      </w:r>
      <w:proofErr w:type="gramEnd"/>
      <w:r w:rsidRPr="00CC0227">
        <w:rPr>
          <w:b/>
          <w:bCs/>
          <w:lang w:val="fr-CA"/>
        </w:rPr>
        <w:t xml:space="preserve"> »</w:t>
      </w:r>
      <w:r w:rsidRPr="00CC0227">
        <w:rPr>
          <w:lang w:val="fr-CA"/>
        </w:rPr>
        <w:t>. L’UEDN avait compris que le SMA(IE) n’allait pas accepter le niveau de qualification 5 comme équivalent au Sceau rouge. L’UEDN peut accepter des nominations conditionnelles lorsque l’obtention d’un Sceau rouge est une exigence dans un délai déterminé, mais pas en tant qu’équivalent au Sceau rouge.</w:t>
      </w:r>
    </w:p>
    <w:p w:rsidRPr="00CC0227" w:rsidR="00CC0227" w:rsidP="00CC0227" w:rsidRDefault="00CC0227" w14:paraId="7A6C7F35" w14:textId="436E32EE">
      <w:pPr>
        <w:pStyle w:val="NormalWeb"/>
        <w:rPr>
          <w:lang w:val="fr-CA"/>
        </w:rPr>
      </w:pPr>
      <w:r w:rsidRPr="00CC0227">
        <w:rPr>
          <w:lang w:val="fr-CA"/>
        </w:rPr>
        <w:t xml:space="preserve">Le </w:t>
      </w:r>
      <w:proofErr w:type="spellStart"/>
      <w:r w:rsidRPr="00CC0227">
        <w:rPr>
          <w:lang w:val="fr-CA"/>
        </w:rPr>
        <w:t>Lcol</w:t>
      </w:r>
      <w:proofErr w:type="spellEnd"/>
      <w:r w:rsidRPr="00CC0227">
        <w:rPr>
          <w:lang w:val="fr-CA"/>
        </w:rPr>
        <w:t xml:space="preserve"> Fortin a examiné la formulation en question et a confirmé que l’intention et la pratique restaient pleinement conformes aux règlements provinciaux et territoriaux applicables. Le libellé actuellement inclus dans l’affiche visait à éliminer les obstacles inutiles au stade de la candidature et de la présélection pour les membres des Forces armées canadiennes (FAC) possédant une qualification technique de niveau 5 (QL5) valide. Cette approche permet aux candidats militaires ayant une formation et une expérience reconnues comme équivalentes d’être pris en considération dans le bassin de candidats, d’autant plus que les voies de reconnaissance provinciales peuvent varier d’une juridiction à l’autre. Le </w:t>
      </w:r>
      <w:proofErr w:type="spellStart"/>
      <w:r w:rsidRPr="00CC0227">
        <w:rPr>
          <w:lang w:val="fr-CA"/>
        </w:rPr>
        <w:t>Lcol</w:t>
      </w:r>
      <w:proofErr w:type="spellEnd"/>
      <w:r w:rsidRPr="00CC0227">
        <w:rPr>
          <w:lang w:val="fr-CA"/>
        </w:rPr>
        <w:t xml:space="preserve"> Fortin a ensuite déclaré que, pour garantir le respect total des conditions d'emploi et des obligations réglementaires, </w:t>
      </w:r>
      <w:r w:rsidRPr="00CC0227">
        <w:rPr>
          <w:b/>
          <w:bCs/>
          <w:lang w:val="fr-CA"/>
        </w:rPr>
        <w:t xml:space="preserve">le Groupe des opérations du personnel des FC donnera officiellement pour instruction à </w:t>
      </w:r>
      <w:r>
        <w:rPr>
          <w:b/>
          <w:bCs/>
          <w:lang w:val="fr-CA"/>
        </w:rPr>
        <w:t>RH</w:t>
      </w:r>
      <w:r w:rsidRPr="00CC0227">
        <w:rPr>
          <w:b/>
          <w:bCs/>
          <w:lang w:val="fr-CA"/>
        </w:rPr>
        <w:t>-</w:t>
      </w:r>
      <w:proofErr w:type="spellStart"/>
      <w:r w:rsidRPr="00CC0227">
        <w:rPr>
          <w:b/>
          <w:bCs/>
          <w:lang w:val="fr-CA"/>
        </w:rPr>
        <w:t>Civ</w:t>
      </w:r>
      <w:proofErr w:type="spellEnd"/>
      <w:r w:rsidRPr="00CC0227">
        <w:rPr>
          <w:b/>
          <w:bCs/>
          <w:lang w:val="fr-CA"/>
        </w:rPr>
        <w:t>, aux équipes de commandement régional et aux responsables du recrutement de ne considérer qu'une certification Sceau rouge valide comme qualification professionnelle reconnue pour la nomination à des postes où une telle certification est requise.</w:t>
      </w:r>
      <w:r w:rsidRPr="00CC0227">
        <w:rPr>
          <w:lang w:val="fr-CA"/>
        </w:rPr>
        <w:t xml:space="preserve"> Les qualifications QL5 ou autres titres militaires équivalents peuvent être utilisés uniquement pour étayer l’admissibilité au stade de la présélection, mais ne seront pas acceptés en remplacement de la certification Sceau rouge requise au moment de la nomination. </w:t>
      </w:r>
      <w:r w:rsidRPr="00CC0227">
        <w:rPr>
          <w:b/>
          <w:bCs/>
          <w:lang w:val="fr-CA"/>
        </w:rPr>
        <w:t>Toutes les nominations seront subordonnées à la détention par le candidat, ou à l’obtention formelle dans les délais prescrits lorsque cela est autorisé, du certificat Sceau rouge approprié, conformément aux règlements établis en matière de conditions d’emploi. Par conséquent, toutes les futures offres d’emploi comporteront un « DOIT » au lieu d’un « PEUT ».</w:t>
      </w:r>
    </w:p>
    <w:p w:rsidRPr="00CC0227" w:rsidR="00CC0227" w:rsidP="00CC0227" w:rsidRDefault="00CC0227" w14:paraId="09050C26" w14:textId="77777777">
      <w:pPr>
        <w:pStyle w:val="NormalWeb"/>
        <w:rPr>
          <w:lang w:val="fr-CA"/>
        </w:rPr>
      </w:pPr>
      <w:r w:rsidRPr="00CC0227">
        <w:rPr>
          <w:b/>
          <w:bCs/>
          <w:lang w:val="fr-CA"/>
        </w:rPr>
        <w:lastRenderedPageBreak/>
        <w:t>L'accord de niveau de service du CDC</w:t>
      </w:r>
      <w:r w:rsidRPr="00CC0227">
        <w:rPr>
          <w:lang w:val="fr-CA"/>
        </w:rPr>
        <w:t xml:space="preserve"> ou le protocole d'entente a été soumis à l'examen de l'UEDN.</w:t>
      </w:r>
    </w:p>
    <w:p w:rsidRPr="00CC0227" w:rsidR="00CC0227" w:rsidP="00CC0227" w:rsidRDefault="00CC0227" w14:paraId="21AFC64E" w14:textId="77777777">
      <w:pPr>
        <w:pStyle w:val="NormalWeb"/>
        <w:rPr>
          <w:lang w:val="fr-CA"/>
        </w:rPr>
      </w:pPr>
      <w:r w:rsidRPr="00CC0227">
        <w:rPr>
          <w:lang w:val="fr-CA"/>
        </w:rPr>
        <w:t xml:space="preserve">Lors de la dernière réunion, le colonel Fortin a déclaré qu’il y aurait davantage de contrats de gestion des installations. </w:t>
      </w:r>
    </w:p>
    <w:p w:rsidRPr="00CC0227" w:rsidR="00CC0227" w:rsidP="00CC0227" w:rsidRDefault="00CC0227" w14:paraId="6F575029" w14:textId="77777777">
      <w:pPr>
        <w:pStyle w:val="NormalWeb"/>
        <w:rPr>
          <w:lang w:val="fr-CA"/>
        </w:rPr>
      </w:pPr>
      <w:r w:rsidRPr="00CC0227">
        <w:rPr>
          <w:lang w:val="fr-CA"/>
        </w:rPr>
        <w:t>Le plan</w:t>
      </w:r>
    </w:p>
    <w:p w:rsidRPr="00CC0227" w:rsidR="00CC0227" w:rsidP="00CC0227" w:rsidRDefault="00CC0227" w14:paraId="03AB2D15" w14:textId="77777777">
      <w:pPr>
        <w:pStyle w:val="NormalWeb"/>
        <w:rPr>
          <w:lang w:val="fr-CA"/>
        </w:rPr>
      </w:pPr>
      <w:r w:rsidRPr="00CC0227">
        <w:rPr>
          <w:u w:val="single"/>
          <w:lang w:val="fr-CA"/>
        </w:rPr>
        <w:t>Investissement dans la main-d’œuvre</w:t>
      </w:r>
    </w:p>
    <w:p w:rsidRPr="00CC0227" w:rsidR="00CC0227" w:rsidP="00CC0227" w:rsidRDefault="00CC0227" w14:paraId="58ED3F97" w14:textId="77777777">
      <w:pPr>
        <w:pStyle w:val="NormalWeb"/>
        <w:rPr>
          <w:lang w:val="fr-CA"/>
        </w:rPr>
      </w:pPr>
      <w:r w:rsidRPr="00CC0227">
        <w:rPr>
          <w:lang w:val="fr-CA"/>
        </w:rPr>
        <w:t>- Augmentation dans tous les domaines (y compris les ateliers)</w:t>
      </w:r>
    </w:p>
    <w:p w:rsidRPr="00CC0227" w:rsidR="00CC0227" w:rsidP="00CC0227" w:rsidRDefault="00CC0227" w14:paraId="20AD7034" w14:textId="77777777">
      <w:pPr>
        <w:pStyle w:val="NormalWeb"/>
        <w:rPr>
          <w:lang w:val="fr-CA"/>
        </w:rPr>
      </w:pPr>
      <w:r w:rsidRPr="00CC0227">
        <w:rPr>
          <w:u w:val="single"/>
          <w:lang w:val="fr-CA"/>
        </w:rPr>
        <w:t xml:space="preserve">Optimisation de la prestation des opérations </w:t>
      </w:r>
    </w:p>
    <w:p w:rsidRPr="00CC0227" w:rsidR="00CC0227" w:rsidP="00CC0227" w:rsidRDefault="00CC0227" w14:paraId="38B64765" w14:textId="77777777">
      <w:pPr>
        <w:pStyle w:val="NormalWeb"/>
        <w:rPr>
          <w:lang w:val="fr-CA"/>
        </w:rPr>
      </w:pPr>
      <w:r w:rsidRPr="00CC0227">
        <w:rPr>
          <w:lang w:val="fr-CA"/>
        </w:rPr>
        <w:t>- Contrats d’entretien des installations, gestion de projet, contrats</w:t>
      </w:r>
    </w:p>
    <w:p w:rsidRPr="00CC0227" w:rsidR="00CC0227" w:rsidP="00CC0227" w:rsidRDefault="00CC0227" w14:paraId="43DDB2A0" w14:textId="77777777">
      <w:pPr>
        <w:pStyle w:val="NormalWeb"/>
        <w:rPr>
          <w:lang w:val="fr-CA"/>
        </w:rPr>
      </w:pPr>
      <w:r w:rsidRPr="00CC0227">
        <w:rPr>
          <w:u w:val="single"/>
          <w:lang w:val="fr-CA"/>
        </w:rPr>
        <w:t>Optimisation de la réalisation des projets</w:t>
      </w:r>
    </w:p>
    <w:p w:rsidRPr="00CC0227" w:rsidR="00CC0227" w:rsidP="00CC0227" w:rsidRDefault="00CC0227" w14:paraId="2B1A8229" w14:textId="77777777">
      <w:pPr>
        <w:pStyle w:val="NormalWeb"/>
        <w:rPr>
          <w:lang w:val="fr-CA"/>
        </w:rPr>
      </w:pPr>
      <w:r w:rsidRPr="00CC0227">
        <w:rPr>
          <w:lang w:val="fr-CA"/>
        </w:rPr>
        <w:t xml:space="preserve">- Gestion de la construction, conception-construction modifiée, conception-soumission-construction et services de soutien technique </w:t>
      </w:r>
    </w:p>
    <w:p w:rsidRPr="00CC0227" w:rsidR="00CC0227" w:rsidP="00CC0227" w:rsidRDefault="00CC0227" w14:paraId="33003729" w14:textId="77777777">
      <w:pPr>
        <w:pStyle w:val="NormalWeb"/>
        <w:rPr>
          <w:lang w:val="fr-CA"/>
        </w:rPr>
      </w:pPr>
      <w:r w:rsidRPr="00CC0227">
        <w:rPr>
          <w:u w:val="single"/>
          <w:lang w:val="fr-CA"/>
        </w:rPr>
        <w:t>Approche « tous les outils à disposition »</w:t>
      </w:r>
    </w:p>
    <w:p w:rsidRPr="00CC0227" w:rsidR="00CC0227" w:rsidP="00CC0227" w:rsidRDefault="00CC0227" w14:paraId="2A50F8B0" w14:textId="79B7695D">
      <w:pPr>
        <w:pStyle w:val="NormalWeb"/>
        <w:rPr>
          <w:lang w:val="fr-CA"/>
        </w:rPr>
      </w:pPr>
      <w:r w:rsidRPr="00CC0227">
        <w:rPr>
          <w:lang w:val="fr-CA"/>
        </w:rPr>
        <w:t xml:space="preserve">- </w:t>
      </w:r>
      <w:r>
        <w:rPr>
          <w:lang w:val="fr-CA"/>
        </w:rPr>
        <w:t>CDC</w:t>
      </w:r>
      <w:r w:rsidRPr="00CC0227">
        <w:rPr>
          <w:lang w:val="fr-CA"/>
        </w:rPr>
        <w:t xml:space="preserve"> </w:t>
      </w:r>
    </w:p>
    <w:p w:rsidRPr="00CC0227" w:rsidR="00CC0227" w:rsidP="00CC0227" w:rsidRDefault="00CC0227" w14:paraId="7F6134C7" w14:textId="6727F59D">
      <w:pPr>
        <w:pStyle w:val="NormalWeb"/>
        <w:rPr>
          <w:lang w:val="fr-CA"/>
        </w:rPr>
      </w:pPr>
      <w:r w:rsidRPr="00CC0227">
        <w:rPr>
          <w:lang w:val="fr-CA"/>
        </w:rPr>
        <w:t xml:space="preserve">- </w:t>
      </w:r>
      <w:r>
        <w:rPr>
          <w:lang w:val="fr-CA"/>
        </w:rPr>
        <w:t>SPAC</w:t>
      </w:r>
    </w:p>
    <w:p w:rsidRPr="00CC0227" w:rsidR="00CC0227" w:rsidP="00CC0227" w:rsidRDefault="00CC0227" w14:paraId="4F32A303" w14:textId="77777777">
      <w:pPr>
        <w:pStyle w:val="NormalWeb"/>
        <w:rPr>
          <w:lang w:val="fr-CA"/>
        </w:rPr>
      </w:pPr>
      <w:r w:rsidRPr="00CC0227">
        <w:rPr>
          <w:lang w:val="fr-CA"/>
        </w:rPr>
        <w:t>- CORCAN</w:t>
      </w:r>
    </w:p>
    <w:p w:rsidRPr="00CC0227" w:rsidR="00CC0227" w:rsidP="00CC0227" w:rsidRDefault="00CC0227" w14:paraId="64A49982" w14:textId="77777777">
      <w:pPr>
        <w:pStyle w:val="NormalWeb"/>
        <w:rPr>
          <w:lang w:val="fr-CA"/>
        </w:rPr>
      </w:pPr>
      <w:r w:rsidRPr="00CC0227">
        <w:rPr>
          <w:lang w:val="fr-CA"/>
        </w:rPr>
        <w:t>- Délégations</w:t>
      </w:r>
    </w:p>
    <w:p w:rsidRPr="00CC0227" w:rsidR="00CC0227" w:rsidP="00CC0227" w:rsidRDefault="00CC0227" w14:paraId="742FF940" w14:textId="78458185">
      <w:pPr>
        <w:pStyle w:val="NormalWeb"/>
        <w:rPr>
          <w:lang w:val="fr-CA"/>
        </w:rPr>
      </w:pPr>
      <w:r w:rsidRPr="00CC0227">
        <w:rPr>
          <w:lang w:val="fr-CA"/>
        </w:rPr>
        <w:t xml:space="preserve">Le contrôle de la qualité des entrepreneurs est crucial pour la main-d’œuvre. Avec l’afflux de 9 milliards de dollars de financement, il y a une pression pour dépenser rapidement dans les infrastructures et un besoin que les projets soient prêts ; par conséquent, dès le début, des entrepreneurs seront nécessaires ; il faut s’attendre à ce que le soutien à la passation de marchés diminue à mesure que les embauches augmentent. Le recrutement prend du temps, donc le </w:t>
      </w:r>
      <w:r>
        <w:rPr>
          <w:lang w:val="fr-CA"/>
        </w:rPr>
        <w:t>CDC</w:t>
      </w:r>
      <w:r w:rsidRPr="00CC0227">
        <w:rPr>
          <w:lang w:val="fr-CA"/>
        </w:rPr>
        <w:t xml:space="preserve"> est essentiel à ce stade. </w:t>
      </w:r>
    </w:p>
    <w:p w:rsidRPr="00CC0227" w:rsidR="00CC0227" w:rsidP="00CC0227" w:rsidRDefault="00CC0227" w14:paraId="6F79F9A5" w14:textId="523BEC28">
      <w:pPr>
        <w:pStyle w:val="NormalWeb"/>
        <w:rPr>
          <w:lang w:val="fr-CA"/>
        </w:rPr>
      </w:pPr>
      <w:r w:rsidRPr="00CC0227">
        <w:rPr>
          <w:lang w:val="fr-CA"/>
        </w:rPr>
        <w:t xml:space="preserve">Le financement n’a pas été constant, mais grâce à cela, l’équipe peut planifier pour les 5 à 10 prochaines années. Des services supplémentaires de </w:t>
      </w:r>
      <w:r>
        <w:rPr>
          <w:lang w:val="fr-CA"/>
        </w:rPr>
        <w:t>CDC</w:t>
      </w:r>
      <w:r w:rsidRPr="00CC0227">
        <w:rPr>
          <w:lang w:val="fr-CA"/>
        </w:rPr>
        <w:t xml:space="preserve"> sont nécessaires pour la gestion de projet et la gestion des contrats afin de fournir de meilleures infrastructures et de consolider les fondations (état du portefeuille).</w:t>
      </w:r>
    </w:p>
    <w:p w:rsidRPr="00CC0227" w:rsidR="00CC0227" w:rsidP="00CC0227" w:rsidRDefault="00CC0227" w14:paraId="675C2578" w14:textId="1C52D26F">
      <w:pPr>
        <w:pStyle w:val="NormalWeb"/>
        <w:rPr>
          <w:lang w:val="fr-CA"/>
        </w:rPr>
      </w:pPr>
      <w:r w:rsidRPr="00CC0227">
        <w:rPr>
          <w:lang w:val="fr-CA"/>
        </w:rPr>
        <w:t xml:space="preserve">Il n’y a pas assez d’ingénieurs en génie civil et d’ETP ; il faut donc transformer le portefeuille pour augmenter la capacité, déléguer des pouvoirs et utiliser tous les outils, ce qui signifie les contrats et </w:t>
      </w:r>
      <w:r>
        <w:rPr>
          <w:lang w:val="fr-CA"/>
        </w:rPr>
        <w:t>CDC</w:t>
      </w:r>
      <w:r w:rsidRPr="00CC0227">
        <w:rPr>
          <w:lang w:val="fr-CA"/>
        </w:rPr>
        <w:t>.</w:t>
      </w:r>
    </w:p>
    <w:p w:rsidR="00B25C5C" w:rsidP="00CC0227" w:rsidRDefault="00B25C5C" w14:paraId="2870967D" w14:textId="77777777">
      <w:pPr>
        <w:pStyle w:val="NormalWeb"/>
        <w:rPr>
          <w:b/>
          <w:bCs/>
          <w:lang w:val="fr-CA"/>
        </w:rPr>
      </w:pPr>
    </w:p>
    <w:p w:rsidR="00B25C5C" w:rsidP="00CC0227" w:rsidRDefault="00B25C5C" w14:paraId="6ECE700C" w14:textId="77777777">
      <w:pPr>
        <w:pStyle w:val="NormalWeb"/>
        <w:rPr>
          <w:b/>
          <w:bCs/>
          <w:lang w:val="fr-CA"/>
        </w:rPr>
      </w:pPr>
    </w:p>
    <w:p w:rsidRPr="00CC0227" w:rsidR="00CC0227" w:rsidP="00CC0227" w:rsidRDefault="00CC0227" w14:paraId="550E65AC" w14:textId="024A132E">
      <w:pPr>
        <w:pStyle w:val="NormalWeb"/>
        <w:rPr>
          <w:lang w:val="fr-CA"/>
        </w:rPr>
      </w:pPr>
      <w:r w:rsidRPr="00CC0227">
        <w:rPr>
          <w:b/>
          <w:bCs/>
          <w:lang w:val="fr-CA"/>
        </w:rPr>
        <w:lastRenderedPageBreak/>
        <w:t xml:space="preserve">Les syndicats ont obtenu une réunion distincte (qui n’a pas encore eu lieu à ce jour) afin d’obtenir des éclaircissements sur le mandat de </w:t>
      </w:r>
      <w:r>
        <w:rPr>
          <w:b/>
          <w:bCs/>
          <w:lang w:val="fr-CA"/>
        </w:rPr>
        <w:t>CDC</w:t>
      </w:r>
      <w:r w:rsidRPr="00CC0227">
        <w:rPr>
          <w:b/>
          <w:bCs/>
          <w:lang w:val="fr-CA"/>
        </w:rPr>
        <w:t xml:space="preserve"> et de discuter de la cessation de l’utilisation de </w:t>
      </w:r>
      <w:r>
        <w:rPr>
          <w:b/>
          <w:bCs/>
          <w:lang w:val="fr-CA"/>
        </w:rPr>
        <w:t>CDC</w:t>
      </w:r>
      <w:r w:rsidRPr="00CC0227">
        <w:rPr>
          <w:b/>
          <w:bCs/>
          <w:lang w:val="fr-CA"/>
        </w:rPr>
        <w:t xml:space="preserve"> pour des travaux hors de son mandat.</w:t>
      </w:r>
      <w:r w:rsidRPr="00CC0227">
        <w:rPr>
          <w:lang w:val="fr-CA"/>
        </w:rPr>
        <w:t xml:space="preserve"> Le manuel de l’accord de niveau de service (SLA) et les règlements relatifs à l’autorité contractante doivent être respectés. Cette réunion portera également sur le contrôle qualité et la responsabilisation de </w:t>
      </w:r>
      <w:r>
        <w:rPr>
          <w:lang w:val="fr-CA"/>
        </w:rPr>
        <w:t>CDC</w:t>
      </w:r>
      <w:r w:rsidRPr="00CC0227">
        <w:rPr>
          <w:lang w:val="fr-CA"/>
        </w:rPr>
        <w:t xml:space="preserve">. </w:t>
      </w:r>
    </w:p>
    <w:p w:rsidR="00CC0227" w:rsidP="122FB839" w:rsidRDefault="00CC0227" w14:paraId="7A68F02C" w14:textId="110552EC">
      <w:pPr>
        <w:pStyle w:val="NormalWeb"/>
        <w:rPr>
          <w:b w:val="1"/>
          <w:bCs w:val="1"/>
          <w:lang w:val="en-CA"/>
        </w:rPr>
      </w:pPr>
      <w:r w:rsidRPr="122FB839" w:rsidR="122FB839">
        <w:rPr>
          <w:b w:val="1"/>
          <w:bCs w:val="1"/>
          <w:lang w:val="en-CA"/>
        </w:rPr>
        <w:t>Mise à jour sur les ingénieurs et les ETP</w:t>
      </w:r>
      <w:r w:rsidRPr="122FB839" w:rsidR="122FB839">
        <w:rPr>
          <w:b w:val="1"/>
          <w:bCs w:val="1"/>
          <w:lang w:val="en-CA"/>
        </w:rPr>
        <w:t xml:space="preserve"> (</w:t>
      </w:r>
      <w:r w:rsidRPr="122FB839" w:rsidR="122FB839">
        <w:rPr>
          <w:b w:val="1"/>
          <w:bCs w:val="1"/>
          <w:i w:val="1"/>
          <w:iCs w:val="1"/>
          <w:sz w:val="18"/>
          <w:szCs w:val="18"/>
          <w:lang w:val="en-CA"/>
        </w:rPr>
        <w:t>en anglais seulement</w:t>
      </w:r>
      <w:r w:rsidRPr="122FB839" w:rsidR="122FB839">
        <w:rPr>
          <w:b w:val="1"/>
          <w:bCs w:val="1"/>
          <w:lang w:val="en-CA"/>
        </w:rPr>
        <w:t>)</w:t>
      </w:r>
      <w:r w:rsidRPr="122FB839" w:rsidR="122FB839">
        <w:rPr>
          <w:b w:val="1"/>
          <w:bCs w:val="1"/>
          <w:lang w:val="en-CA"/>
        </w:rPr>
        <w:t xml:space="preserve"> :</w:t>
      </w:r>
    </w:p>
    <w:p w:rsidRPr="00CC0227" w:rsidR="00B25C5C" w:rsidP="00CC0227" w:rsidRDefault="00B25C5C" w14:paraId="7B7E7D79" w14:textId="532A8F9A">
      <w:pPr>
        <w:pStyle w:val="NormalWeb"/>
        <w:rPr>
          <w:lang w:val="fr-CA"/>
        </w:rPr>
      </w:pPr>
      <w:r>
        <w:rPr>
          <w:rFonts w:asciiTheme="minorHAnsi" w:hAnsiTheme="minorHAnsi" w:cstheme="minorHAnsi"/>
          <w:noProof/>
          <w:color w:val="000000"/>
          <w:sz w:val="22"/>
        </w:rPr>
        <w:drawing>
          <wp:inline distT="0" distB="0" distL="0" distR="0" wp14:anchorId="22D3D998" wp14:editId="344F5D1C">
            <wp:extent cx="5880100" cy="1570558"/>
            <wp:effectExtent l="0" t="0" r="6350" b="0"/>
            <wp:docPr id="1767636802" name="Picture 1">
              <a:extLst xmlns:a="http://schemas.openxmlformats.org/drawingml/2006/main">
                <a:ext uri="{FF2B5EF4-FFF2-40B4-BE49-F238E27FC236}">
                  <a16:creationId xmlns:a16="http://schemas.microsoft.com/office/drawing/2014/main" id="{C4FEE788-264F-4157-A8B4-CB4C594200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20177" cy="1581262"/>
                    </a:xfrm>
                    <a:prstGeom prst="rect">
                      <a:avLst/>
                    </a:prstGeom>
                    <a:noFill/>
                  </pic:spPr>
                </pic:pic>
              </a:graphicData>
            </a:graphic>
          </wp:inline>
        </w:drawing>
      </w:r>
    </w:p>
    <w:p w:rsidRPr="00CC0227" w:rsidR="00CC0227" w:rsidP="00CC0227" w:rsidRDefault="00CC0227" w14:paraId="26D2B621" w14:textId="77777777">
      <w:pPr>
        <w:pStyle w:val="NormalWeb"/>
        <w:rPr>
          <w:lang w:val="fr-CA"/>
        </w:rPr>
      </w:pPr>
      <w:r w:rsidRPr="00CC0227">
        <w:rPr>
          <w:lang w:val="fr-CA"/>
        </w:rPr>
        <w:t>* ETP supplémentaires réservés (2026-2027 et au-delà), en attente de la décision finale du Conseil du Trésor.</w:t>
      </w:r>
    </w:p>
    <w:p w:rsidRPr="00CC0227" w:rsidR="00CC0227" w:rsidP="00CC0227" w:rsidRDefault="00CC0227" w14:paraId="7CA1EA6C" w14:textId="77777777">
      <w:pPr>
        <w:pStyle w:val="NormalWeb"/>
        <w:rPr>
          <w:lang w:val="fr-CA"/>
        </w:rPr>
      </w:pPr>
      <w:r w:rsidRPr="00CC0227">
        <w:rPr>
          <w:lang w:val="fr-CA"/>
        </w:rPr>
        <w:t>Remarque : En outre – non mentionné ici :</w:t>
      </w:r>
    </w:p>
    <w:p w:rsidRPr="00CC0227" w:rsidR="00CC0227" w:rsidP="00CC0227" w:rsidRDefault="00CC0227" w14:paraId="6AAB3AA7" w14:textId="77777777">
      <w:pPr>
        <w:pStyle w:val="NormalWeb"/>
        <w:rPr>
          <w:lang w:val="fr-CA"/>
        </w:rPr>
      </w:pPr>
      <w:r w:rsidRPr="00CC0227">
        <w:rPr>
          <w:lang w:val="fr-CA"/>
        </w:rPr>
        <w:t>- 10 millions de dollars en ETP obtenus par le biais du Comité de gestion des investissements et des ressources (CGIR) du MDN pour combler les pénuries de personnel du Groupe des opérations RP des FC.</w:t>
      </w:r>
    </w:p>
    <w:p w:rsidRPr="00CC0227" w:rsidR="00CC0227" w:rsidP="00CC0227" w:rsidRDefault="00CC0227" w14:paraId="45F5F79A" w14:textId="2FF87646">
      <w:pPr>
        <w:pStyle w:val="NormalWeb"/>
        <w:rPr>
          <w:lang w:val="fr-CA"/>
        </w:rPr>
      </w:pPr>
      <w:r w:rsidRPr="00CC0227">
        <w:rPr>
          <w:lang w:val="fr-CA"/>
        </w:rPr>
        <w:t xml:space="preserve">- Financement de la modernisation du NORAD, qui comprend des projets parrainés par d’autres </w:t>
      </w:r>
      <w:r>
        <w:rPr>
          <w:lang w:val="fr-CA"/>
        </w:rPr>
        <w:t>N</w:t>
      </w:r>
      <w:r w:rsidRPr="00CC0227">
        <w:rPr>
          <w:lang w:val="fr-CA"/>
        </w:rPr>
        <w:t>1 et soutenus par le SMA(IE) ~198 ETP.</w:t>
      </w:r>
    </w:p>
    <w:p w:rsidRPr="00CC0227" w:rsidR="00CC0227" w:rsidP="00CC0227" w:rsidRDefault="00CC0227" w14:paraId="1BAC0F83" w14:textId="77777777">
      <w:pPr>
        <w:pStyle w:val="NormalWeb"/>
        <w:rPr>
          <w:lang w:val="fr-CA"/>
        </w:rPr>
      </w:pPr>
      <w:r w:rsidRPr="00CC0227">
        <w:rPr>
          <w:b/>
          <w:bCs/>
          <w:lang w:val="fr-CA"/>
        </w:rPr>
        <w:t xml:space="preserve">Réorganisation du Groupe des opérations de réexpédition des FC </w:t>
      </w:r>
    </w:p>
    <w:p w:rsidRPr="00CC0227" w:rsidR="00CC0227" w:rsidP="00CC0227" w:rsidRDefault="00CC0227" w14:paraId="32DBD5EE" w14:textId="5A1207B1">
      <w:pPr>
        <w:pStyle w:val="NormalWeb"/>
        <w:rPr>
          <w:lang w:val="fr-CA"/>
        </w:rPr>
      </w:pPr>
      <w:r w:rsidRPr="00CC0227">
        <w:rPr>
          <w:lang w:val="fr-CA"/>
        </w:rPr>
        <w:t>Résumé</w:t>
      </w:r>
      <w:r w:rsidR="00B25C5C">
        <w:rPr>
          <w:lang w:val="fr-CA"/>
        </w:rPr>
        <w:t xml:space="preserve"> exécutif</w:t>
      </w:r>
    </w:p>
    <w:p w:rsidRPr="00CC0227" w:rsidR="00CC0227" w:rsidP="00CC0227" w:rsidRDefault="00CC0227" w14:paraId="36AACDEC" w14:textId="77777777">
      <w:pPr>
        <w:pStyle w:val="NormalWeb"/>
        <w:rPr>
          <w:lang w:val="fr-CA"/>
        </w:rPr>
      </w:pPr>
      <w:r w:rsidRPr="00CC0227">
        <w:rPr>
          <w:lang w:val="fr-CA"/>
        </w:rPr>
        <w:t>• 10 chefs de section J regroupés en 3 directeurs : Opérations, Programmes et Soutien</w:t>
      </w:r>
    </w:p>
    <w:p w:rsidRPr="00CC0227" w:rsidR="00CC0227" w:rsidP="00CC0227" w:rsidRDefault="00CC0227" w14:paraId="51AAB4FE" w14:textId="08A0B86E">
      <w:pPr>
        <w:pStyle w:val="NormalWeb"/>
        <w:rPr>
          <w:lang w:val="fr-CA"/>
        </w:rPr>
      </w:pPr>
      <w:r w:rsidRPr="00CC0227">
        <w:rPr>
          <w:lang w:val="fr-CA"/>
        </w:rPr>
        <w:t xml:space="preserve">• L’objectif principal est une meilleure intégration avec les autres </w:t>
      </w:r>
      <w:r>
        <w:rPr>
          <w:lang w:val="fr-CA"/>
        </w:rPr>
        <w:t>N</w:t>
      </w:r>
      <w:r w:rsidRPr="00CC0227">
        <w:rPr>
          <w:lang w:val="fr-CA"/>
        </w:rPr>
        <w:t>2 du SMA(IE) – beaucoup ne sont pas familiarisés avec la structure des codes J</w:t>
      </w:r>
    </w:p>
    <w:p w:rsidRPr="00CC0227" w:rsidR="00CC0227" w:rsidP="00CC0227" w:rsidRDefault="00CC0227" w14:paraId="1CEE6172" w14:textId="12096935">
      <w:pPr>
        <w:pStyle w:val="NormalWeb"/>
        <w:rPr>
          <w:lang w:val="fr-CA"/>
        </w:rPr>
      </w:pPr>
      <w:r w:rsidRPr="00CC0227">
        <w:rPr>
          <w:lang w:val="fr-CA"/>
        </w:rPr>
        <w:t xml:space="preserve">• Actuellement, les autres </w:t>
      </w:r>
      <w:r w:rsidR="00B25C5C">
        <w:rPr>
          <w:lang w:val="fr-CA"/>
        </w:rPr>
        <w:t>N</w:t>
      </w:r>
      <w:r w:rsidRPr="00CC0227">
        <w:rPr>
          <w:lang w:val="fr-CA"/>
        </w:rPr>
        <w:t xml:space="preserve">3 disposent de 2 à 5 points de contact au sein des codes J ; la nouvelle structure prévoit un point de contact principal pour chaque L3. </w:t>
      </w:r>
    </w:p>
    <w:p w:rsidRPr="00CC0227" w:rsidR="00CC0227" w:rsidP="00CC0227" w:rsidRDefault="00CC0227" w14:paraId="001D1ED8" w14:textId="77777777">
      <w:pPr>
        <w:pStyle w:val="NormalWeb"/>
        <w:rPr>
          <w:lang w:val="fr-CA"/>
        </w:rPr>
      </w:pPr>
      <w:r w:rsidRPr="00CC0227">
        <w:rPr>
          <w:lang w:val="fr-CA"/>
        </w:rPr>
        <w:t>• Un avantage secondaire est l'amélioration de la profondeur et de la concentration, ainsi que la maximisation des capacités de direction existantes au QG</w:t>
      </w:r>
    </w:p>
    <w:p w:rsidRPr="00CC0227" w:rsidR="00CC0227" w:rsidP="00CC0227" w:rsidRDefault="00CC0227" w14:paraId="7835026E" w14:textId="77777777">
      <w:pPr>
        <w:pStyle w:val="NormalWeb"/>
        <w:rPr>
          <w:lang w:val="fr-CA"/>
        </w:rPr>
      </w:pPr>
      <w:r w:rsidRPr="00CC0227">
        <w:rPr>
          <w:lang w:val="fr-CA"/>
        </w:rPr>
        <w:t>• Exemple : la gestion des programmes est actuellement répartie entre 3 codes J qui seraient regroupés sous un seul.</w:t>
      </w:r>
    </w:p>
    <w:p w:rsidRPr="00CC0227" w:rsidR="00CC0227" w:rsidP="00CC0227" w:rsidRDefault="00CC0227" w14:paraId="24AB3E7C" w14:textId="77777777">
      <w:pPr>
        <w:pStyle w:val="NormalWeb"/>
        <w:rPr>
          <w:lang w:val="fr-CA"/>
        </w:rPr>
      </w:pPr>
      <w:r w:rsidRPr="00CC0227">
        <w:rPr>
          <w:lang w:val="fr-CA"/>
        </w:rPr>
        <w:t xml:space="preserve">• Mise en œuvre réalisable en quelques mois, qui devrait se faire de manière relativement fluide. Priorité accordée dans le cadre des prévisions actuelles d’effectifs de l’ONSAF. </w:t>
      </w:r>
    </w:p>
    <w:p w:rsidRPr="00CC0227" w:rsidR="009E58D3" w:rsidP="00CC0227" w:rsidRDefault="00CC0227" w14:paraId="24CB4B3A" w14:textId="64AD52B6">
      <w:pPr>
        <w:pStyle w:val="NormalWeb"/>
        <w:rPr>
          <w:lang w:val="fr-CA"/>
        </w:rPr>
      </w:pPr>
      <w:r w:rsidRPr="00CC0227">
        <w:rPr>
          <w:lang w:val="fr-CA"/>
        </w:rPr>
        <w:lastRenderedPageBreak/>
        <w:t>• Directeur civil prévu pour le programme – apporte des avantages en termes de continuité et de développement, mais comporte des risques liés à la classification (AS vs EX)</w:t>
      </w:r>
    </w:p>
    <w:p w:rsidRPr="00CC0227" w:rsidR="00CC0227" w:rsidP="00CC0227" w:rsidRDefault="00CC0227" w14:paraId="74DBCE40" w14:textId="55D877DA">
      <w:pPr>
        <w:pStyle w:val="NormalWeb"/>
        <w:rPr>
          <w:lang w:val="fr-CA"/>
        </w:rPr>
      </w:pPr>
      <w:r w:rsidRPr="00CC0227">
        <w:rPr>
          <w:b/>
          <w:bCs/>
          <w:lang w:val="fr-CA"/>
        </w:rPr>
        <w:t>Aperçu de la nouvelle structure (</w:t>
      </w:r>
      <w:r w:rsidRPr="00CC0227">
        <w:rPr>
          <w:b/>
          <w:bCs/>
          <w:i/>
          <w:iCs/>
          <w:sz w:val="20"/>
          <w:szCs w:val="20"/>
          <w:lang w:val="fr-CA"/>
        </w:rPr>
        <w:t>en anglais seulement</w:t>
      </w:r>
      <w:r>
        <w:rPr>
          <w:b/>
          <w:bCs/>
          <w:lang w:val="fr-CA"/>
        </w:rPr>
        <w:t>)</w:t>
      </w:r>
    </w:p>
    <w:p w:rsidRPr="00CC0227" w:rsidR="005128EF" w:rsidP="00214385" w:rsidRDefault="005128EF" w14:paraId="48073BC7" w14:textId="77777777">
      <w:pPr>
        <w:rPr>
          <w:rFonts w:asciiTheme="minorHAnsi" w:hAnsiTheme="minorHAnsi" w:cstheme="minorHAnsi"/>
          <w:b/>
          <w:bCs/>
          <w:sz w:val="22"/>
          <w:lang w:val="fr-CA"/>
        </w:rPr>
      </w:pPr>
    </w:p>
    <w:p w:rsidRPr="009E58D3" w:rsidR="002D4A52" w:rsidP="0025284D" w:rsidRDefault="00DC2E7B" w14:paraId="5F618D63" w14:textId="37497C98">
      <w:pPr>
        <w:rPr>
          <w:rFonts w:asciiTheme="minorHAnsi" w:hAnsiTheme="minorHAnsi" w:cstheme="minorHAnsi"/>
          <w:b/>
          <w:bCs/>
          <w:sz w:val="22"/>
        </w:rPr>
      </w:pPr>
      <w:r>
        <w:rPr>
          <w:noProof/>
        </w:rPr>
        <w:drawing>
          <wp:inline distT="0" distB="0" distL="0" distR="0" wp14:anchorId="14D620A6" wp14:editId="4E6F71E3">
            <wp:extent cx="5943600" cy="3282950"/>
            <wp:effectExtent l="0" t="0" r="0" b="0"/>
            <wp:docPr id="1354418734" name="Graphic 1">
              <a:extLst xmlns:a="http://schemas.openxmlformats.org/drawingml/2006/main">
                <a:ext uri="{FF2B5EF4-FFF2-40B4-BE49-F238E27FC236}">
                  <a16:creationId xmlns:a16="http://schemas.microsoft.com/office/drawing/2014/main" id="{F675D309-0A5D-4148-968D-D96032249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418734" name=""/>
                    <pic:cNvPicPr/>
                  </pic:nvPicPr>
                  <pic:blipFill>
                    <a:blip r:embed="rId6">
                      <a:extLst>
                        <a:ext uri="{96DAC541-7B7A-43D3-8B79-37D633B846F1}">
                          <asvg:svgBlip xmlns:asvg="http://schemas.microsoft.com/office/drawing/2016/SVG/main" r:embed="rId7"/>
                        </a:ext>
                      </a:extLst>
                    </a:blip>
                    <a:stretch>
                      <a:fillRect/>
                    </a:stretch>
                  </pic:blipFill>
                  <pic:spPr>
                    <a:xfrm>
                      <a:off x="0" y="0"/>
                      <a:ext cx="5943600" cy="3282950"/>
                    </a:xfrm>
                    <a:prstGeom prst="rect">
                      <a:avLst/>
                    </a:prstGeom>
                  </pic:spPr>
                </pic:pic>
              </a:graphicData>
            </a:graphic>
          </wp:inline>
        </w:drawing>
      </w:r>
    </w:p>
    <w:p w:rsidRPr="00CC0227" w:rsidR="009E58D3" w:rsidP="009E58D3" w:rsidRDefault="00CC0227" w14:paraId="58697935" w14:textId="0930AF27">
      <w:pPr>
        <w:autoSpaceDE w:val="0"/>
        <w:autoSpaceDN w:val="0"/>
        <w:adjustRightInd w:val="0"/>
        <w:rPr>
          <w:rFonts w:asciiTheme="minorHAnsi" w:hAnsiTheme="minorHAnsi" w:cstheme="minorHAnsi"/>
          <w:b/>
          <w:bCs/>
          <w:color w:val="000000"/>
          <w:sz w:val="22"/>
          <w:lang w:val="fr-CA"/>
        </w:rPr>
      </w:pPr>
      <w:r w:rsidRPr="00CC0227">
        <w:rPr>
          <w:rFonts w:asciiTheme="minorHAnsi" w:hAnsiTheme="minorHAnsi" w:cstheme="minorHAnsi"/>
          <w:b/>
          <w:bCs/>
          <w:color w:val="000000"/>
          <w:sz w:val="22"/>
          <w:lang w:val="fr-CA"/>
        </w:rPr>
        <w:t>C</w:t>
      </w:r>
      <w:r>
        <w:rPr>
          <w:rFonts w:asciiTheme="minorHAnsi" w:hAnsiTheme="minorHAnsi" w:cstheme="minorHAnsi"/>
          <w:b/>
          <w:bCs/>
          <w:color w:val="000000"/>
          <w:sz w:val="22"/>
          <w:lang w:val="fr-CA"/>
        </w:rPr>
        <w:t>’</w:t>
      </w:r>
      <w:r w:rsidRPr="00CC0227">
        <w:rPr>
          <w:rFonts w:asciiTheme="minorHAnsi" w:hAnsiTheme="minorHAnsi" w:cstheme="minorHAnsi"/>
          <w:b/>
          <w:bCs/>
          <w:color w:val="000000"/>
          <w:sz w:val="22"/>
          <w:lang w:val="fr-CA"/>
        </w:rPr>
        <w:t xml:space="preserve">est le 10e anniversaire en 2026 de la </w:t>
      </w:r>
      <w:proofErr w:type="spellStart"/>
      <w:r w:rsidRPr="00CC0227">
        <w:rPr>
          <w:rFonts w:asciiTheme="minorHAnsi" w:hAnsiTheme="minorHAnsi" w:cstheme="minorHAnsi"/>
          <w:b/>
          <w:bCs/>
          <w:color w:val="000000"/>
          <w:sz w:val="22"/>
          <w:lang w:val="fr-CA"/>
        </w:rPr>
        <w:t>centralization</w:t>
      </w:r>
      <w:proofErr w:type="spellEnd"/>
      <w:r w:rsidRPr="00CC0227">
        <w:rPr>
          <w:rFonts w:asciiTheme="minorHAnsi" w:hAnsiTheme="minorHAnsi" w:cstheme="minorHAnsi"/>
          <w:b/>
          <w:bCs/>
          <w:color w:val="000000"/>
          <w:sz w:val="22"/>
          <w:lang w:val="fr-CA"/>
        </w:rPr>
        <w:t xml:space="preserve"> de </w:t>
      </w:r>
      <w:r>
        <w:rPr>
          <w:rFonts w:asciiTheme="minorHAnsi" w:hAnsiTheme="minorHAnsi" w:cstheme="minorHAnsi"/>
          <w:b/>
          <w:bCs/>
          <w:color w:val="000000"/>
          <w:sz w:val="22"/>
          <w:lang w:val="fr-CA"/>
        </w:rPr>
        <w:t>l’</w:t>
      </w:r>
      <w:r w:rsidRPr="00CC0227">
        <w:rPr>
          <w:rFonts w:asciiTheme="minorHAnsi" w:hAnsiTheme="minorHAnsi" w:cstheme="minorHAnsi"/>
          <w:b/>
          <w:bCs/>
          <w:color w:val="000000"/>
          <w:sz w:val="22"/>
          <w:lang w:val="fr-CA"/>
        </w:rPr>
        <w:t>UOI.</w:t>
      </w:r>
    </w:p>
    <w:p w:rsidRPr="00CC0227" w:rsidR="009E58D3" w:rsidP="0025284D" w:rsidRDefault="009E58D3" w14:paraId="039A7AE6" w14:textId="77777777">
      <w:pPr>
        <w:rPr>
          <w:rFonts w:asciiTheme="minorHAnsi" w:hAnsiTheme="minorHAnsi" w:cstheme="minorHAnsi"/>
          <w:b/>
          <w:bCs/>
          <w:sz w:val="22"/>
          <w:lang w:val="fr-CA"/>
        </w:rPr>
      </w:pPr>
    </w:p>
    <w:p w:rsidRPr="00B25C5C" w:rsidR="0025284D" w:rsidP="0025284D" w:rsidRDefault="0025284D" w14:paraId="6785D691" w14:textId="69495EE2">
      <w:pPr>
        <w:rPr>
          <w:rFonts w:asciiTheme="minorHAnsi" w:hAnsiTheme="minorHAnsi" w:cstheme="minorHAnsi"/>
          <w:b/>
          <w:bCs/>
          <w:sz w:val="22"/>
          <w:lang w:val="fr-CA"/>
        </w:rPr>
      </w:pPr>
      <w:r w:rsidRPr="00B25C5C">
        <w:rPr>
          <w:rFonts w:asciiTheme="minorHAnsi" w:hAnsiTheme="minorHAnsi" w:cstheme="minorHAnsi"/>
          <w:b/>
          <w:bCs/>
          <w:sz w:val="22"/>
          <w:lang w:val="fr-CA"/>
        </w:rPr>
        <w:t>Respect</w:t>
      </w:r>
      <w:r w:rsidRPr="00B25C5C" w:rsidR="00CC0227">
        <w:rPr>
          <w:rFonts w:asciiTheme="minorHAnsi" w:hAnsiTheme="minorHAnsi" w:cstheme="minorHAnsi"/>
          <w:b/>
          <w:bCs/>
          <w:sz w:val="22"/>
          <w:lang w:val="fr-CA"/>
        </w:rPr>
        <w:t>ueusement soumis par</w:t>
      </w:r>
      <w:r w:rsidRPr="00B25C5C">
        <w:rPr>
          <w:rFonts w:asciiTheme="minorHAnsi" w:hAnsiTheme="minorHAnsi" w:cstheme="minorHAnsi"/>
          <w:b/>
          <w:bCs/>
          <w:sz w:val="22"/>
          <w:lang w:val="fr-CA"/>
        </w:rPr>
        <w:t xml:space="preserve"> </w:t>
      </w:r>
      <w:r w:rsidRPr="00B25C5C" w:rsidR="00064BFE">
        <w:rPr>
          <w:rFonts w:asciiTheme="minorHAnsi" w:hAnsiTheme="minorHAnsi" w:cstheme="minorHAnsi"/>
          <w:b/>
          <w:bCs/>
          <w:sz w:val="22"/>
          <w:lang w:val="fr-CA"/>
        </w:rPr>
        <w:t xml:space="preserve"> </w:t>
      </w:r>
    </w:p>
    <w:p w:rsidRPr="00B25C5C" w:rsidR="00CC0227" w:rsidP="0025284D" w:rsidRDefault="00CC0227" w14:paraId="688C2D28" w14:textId="77777777">
      <w:pPr>
        <w:rPr>
          <w:rFonts w:asciiTheme="minorHAnsi" w:hAnsiTheme="minorHAnsi" w:cstheme="minorHAnsi"/>
          <w:b/>
          <w:bCs/>
          <w:sz w:val="22"/>
          <w:lang w:val="fr-CA"/>
        </w:rPr>
      </w:pPr>
    </w:p>
    <w:p w:rsidRPr="00B25C5C" w:rsidR="0025284D" w:rsidP="0025284D" w:rsidRDefault="0025284D" w14:paraId="148578BB" w14:textId="77777777">
      <w:pPr>
        <w:pStyle w:val="Default"/>
        <w:rPr>
          <w:rFonts w:eastAsia="Times New Roman" w:asciiTheme="minorHAnsi" w:hAnsiTheme="minorHAnsi" w:cstheme="minorHAnsi"/>
          <w:lang w:val="fr-CA"/>
        </w:rPr>
      </w:pPr>
      <w:r w:rsidRPr="00CF1AD3">
        <w:rPr>
          <w:rFonts w:asciiTheme="minorHAnsi" w:hAnsiTheme="minorHAnsi" w:cstheme="minorHAnsi"/>
          <w:lang w:val="nl-NL"/>
        </w:rPr>
        <w:t xml:space="preserve">Mona Simcoe </w:t>
      </w:r>
      <w:r w:rsidRPr="00B25C5C">
        <w:rPr>
          <w:rFonts w:asciiTheme="minorHAnsi" w:hAnsiTheme="minorHAnsi" w:cstheme="minorHAnsi"/>
          <w:lang w:val="fr-CA"/>
        </w:rPr>
        <w:t xml:space="preserve">          Marcelo Lazaro</w:t>
      </w:r>
    </w:p>
    <w:p w:rsidRPr="00CF1AD3" w:rsidR="0025284D" w:rsidP="0025284D" w:rsidRDefault="0025284D" w14:paraId="5F7561AB" w14:textId="5CADB9CC">
      <w:pPr>
        <w:pStyle w:val="Default"/>
        <w:rPr>
          <w:rFonts w:eastAsia="Times New Roman" w:asciiTheme="minorHAnsi" w:hAnsiTheme="minorHAnsi" w:cstheme="minorHAnsi"/>
        </w:rPr>
      </w:pPr>
      <w:r w:rsidRPr="00CF1AD3">
        <w:rPr>
          <w:rFonts w:asciiTheme="minorHAnsi" w:hAnsiTheme="minorHAnsi" w:cstheme="minorHAnsi"/>
        </w:rPr>
        <w:t>VP MB/</w:t>
      </w:r>
      <w:proofErr w:type="spellStart"/>
      <w:r w:rsidRPr="00CF1AD3">
        <w:rPr>
          <w:rFonts w:asciiTheme="minorHAnsi" w:hAnsiTheme="minorHAnsi" w:cstheme="minorHAnsi"/>
        </w:rPr>
        <w:t>Sask</w:t>
      </w:r>
      <w:proofErr w:type="spellEnd"/>
      <w:r w:rsidRPr="00CF1AD3">
        <w:rPr>
          <w:rFonts w:asciiTheme="minorHAnsi" w:hAnsiTheme="minorHAnsi" w:cstheme="minorHAnsi"/>
        </w:rPr>
        <w:t xml:space="preserve">             VP </w:t>
      </w:r>
      <w:r w:rsidR="00CC0227">
        <w:rPr>
          <w:rFonts w:asciiTheme="minorHAnsi" w:hAnsiTheme="minorHAnsi" w:cstheme="minorHAnsi"/>
        </w:rPr>
        <w:t>C.B.</w:t>
      </w:r>
    </w:p>
    <w:p w:rsidRPr="00CF1AD3" w:rsidR="00B17841" w:rsidP="00CC0227" w:rsidRDefault="0025284D" w14:paraId="2A12BF97" w14:textId="38AD946C">
      <w:pPr>
        <w:pStyle w:val="Default"/>
        <w:rPr>
          <w:rFonts w:asciiTheme="minorHAnsi" w:hAnsiTheme="minorHAnsi" w:cstheme="minorHAnsi"/>
        </w:rPr>
      </w:pPr>
      <w:r w:rsidRPr="00CF1AD3">
        <w:rPr>
          <w:rFonts w:asciiTheme="minorHAnsi" w:hAnsiTheme="minorHAnsi" w:cstheme="minorHAnsi"/>
          <w:lang w:val="en-CA"/>
        </w:rPr>
        <w:t>Co-</w:t>
      </w:r>
      <w:proofErr w:type="spellStart"/>
      <w:r w:rsidR="00CC0227">
        <w:rPr>
          <w:rFonts w:asciiTheme="minorHAnsi" w:hAnsiTheme="minorHAnsi" w:cstheme="minorHAnsi"/>
          <w:lang w:val="en-CA"/>
        </w:rPr>
        <w:t>présidente</w:t>
      </w:r>
      <w:proofErr w:type="spellEnd"/>
    </w:p>
    <w:sectPr w:rsidRPr="00CF1AD3" w:rsidR="00B17841" w:rsidSect="00CC0227">
      <w:pgSz w:w="12240" w:h="15840" w:orient="portrait"/>
      <w:pgMar w:top="42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D04EF"/>
    <w:multiLevelType w:val="multilevel"/>
    <w:tmpl w:val="F752BF9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B3824D5"/>
    <w:multiLevelType w:val="multilevel"/>
    <w:tmpl w:val="5D887F8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D8274DF"/>
    <w:multiLevelType w:val="multilevel"/>
    <w:tmpl w:val="C7F80D3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FC02DC1"/>
    <w:multiLevelType w:val="multilevel"/>
    <w:tmpl w:val="22988C5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0203173"/>
    <w:multiLevelType w:val="hybridMultilevel"/>
    <w:tmpl w:val="94D41D54"/>
    <w:lvl w:ilvl="0" w:tplc="8E224940">
      <w:start w:val="1"/>
      <w:numFmt w:val="bullet"/>
      <w:lvlText w:val="•"/>
      <w:lvlJc w:val="left"/>
      <w:pPr>
        <w:tabs>
          <w:tab w:val="num" w:pos="720"/>
        </w:tabs>
        <w:ind w:left="720" w:hanging="360"/>
      </w:pPr>
      <w:rPr>
        <w:rFonts w:hint="default" w:ascii="Arial" w:hAnsi="Arial"/>
      </w:rPr>
    </w:lvl>
    <w:lvl w:ilvl="1" w:tplc="951CC822">
      <w:numFmt w:val="bullet"/>
      <w:lvlText w:val="•"/>
      <w:lvlJc w:val="left"/>
      <w:pPr>
        <w:tabs>
          <w:tab w:val="num" w:pos="1440"/>
        </w:tabs>
        <w:ind w:left="1440" w:hanging="360"/>
      </w:pPr>
      <w:rPr>
        <w:rFonts w:hint="default" w:ascii="Arial" w:hAnsi="Arial"/>
      </w:rPr>
    </w:lvl>
    <w:lvl w:ilvl="2" w:tplc="7864F708" w:tentative="1">
      <w:start w:val="1"/>
      <w:numFmt w:val="bullet"/>
      <w:lvlText w:val="•"/>
      <w:lvlJc w:val="left"/>
      <w:pPr>
        <w:tabs>
          <w:tab w:val="num" w:pos="2160"/>
        </w:tabs>
        <w:ind w:left="2160" w:hanging="360"/>
      </w:pPr>
      <w:rPr>
        <w:rFonts w:hint="default" w:ascii="Arial" w:hAnsi="Arial"/>
      </w:rPr>
    </w:lvl>
    <w:lvl w:ilvl="3" w:tplc="A8C04A62" w:tentative="1">
      <w:start w:val="1"/>
      <w:numFmt w:val="bullet"/>
      <w:lvlText w:val="•"/>
      <w:lvlJc w:val="left"/>
      <w:pPr>
        <w:tabs>
          <w:tab w:val="num" w:pos="2880"/>
        </w:tabs>
        <w:ind w:left="2880" w:hanging="360"/>
      </w:pPr>
      <w:rPr>
        <w:rFonts w:hint="default" w:ascii="Arial" w:hAnsi="Arial"/>
      </w:rPr>
    </w:lvl>
    <w:lvl w:ilvl="4" w:tplc="28C69B64" w:tentative="1">
      <w:start w:val="1"/>
      <w:numFmt w:val="bullet"/>
      <w:lvlText w:val="•"/>
      <w:lvlJc w:val="left"/>
      <w:pPr>
        <w:tabs>
          <w:tab w:val="num" w:pos="3600"/>
        </w:tabs>
        <w:ind w:left="3600" w:hanging="360"/>
      </w:pPr>
      <w:rPr>
        <w:rFonts w:hint="default" w:ascii="Arial" w:hAnsi="Arial"/>
      </w:rPr>
    </w:lvl>
    <w:lvl w:ilvl="5" w:tplc="D88CFAA2" w:tentative="1">
      <w:start w:val="1"/>
      <w:numFmt w:val="bullet"/>
      <w:lvlText w:val="•"/>
      <w:lvlJc w:val="left"/>
      <w:pPr>
        <w:tabs>
          <w:tab w:val="num" w:pos="4320"/>
        </w:tabs>
        <w:ind w:left="4320" w:hanging="360"/>
      </w:pPr>
      <w:rPr>
        <w:rFonts w:hint="default" w:ascii="Arial" w:hAnsi="Arial"/>
      </w:rPr>
    </w:lvl>
    <w:lvl w:ilvl="6" w:tplc="A18E56BC" w:tentative="1">
      <w:start w:val="1"/>
      <w:numFmt w:val="bullet"/>
      <w:lvlText w:val="•"/>
      <w:lvlJc w:val="left"/>
      <w:pPr>
        <w:tabs>
          <w:tab w:val="num" w:pos="5040"/>
        </w:tabs>
        <w:ind w:left="5040" w:hanging="360"/>
      </w:pPr>
      <w:rPr>
        <w:rFonts w:hint="default" w:ascii="Arial" w:hAnsi="Arial"/>
      </w:rPr>
    </w:lvl>
    <w:lvl w:ilvl="7" w:tplc="F452744C" w:tentative="1">
      <w:start w:val="1"/>
      <w:numFmt w:val="bullet"/>
      <w:lvlText w:val="•"/>
      <w:lvlJc w:val="left"/>
      <w:pPr>
        <w:tabs>
          <w:tab w:val="num" w:pos="5760"/>
        </w:tabs>
        <w:ind w:left="5760" w:hanging="360"/>
      </w:pPr>
      <w:rPr>
        <w:rFonts w:hint="default" w:ascii="Arial" w:hAnsi="Arial"/>
      </w:rPr>
    </w:lvl>
    <w:lvl w:ilvl="8" w:tplc="FA1C8BA2" w:tentative="1">
      <w:start w:val="1"/>
      <w:numFmt w:val="bullet"/>
      <w:lvlText w:val="•"/>
      <w:lvlJc w:val="left"/>
      <w:pPr>
        <w:tabs>
          <w:tab w:val="num" w:pos="6480"/>
        </w:tabs>
        <w:ind w:left="6480" w:hanging="360"/>
      </w:pPr>
      <w:rPr>
        <w:rFonts w:hint="default" w:ascii="Arial" w:hAnsi="Arial"/>
      </w:rPr>
    </w:lvl>
  </w:abstractNum>
  <w:abstractNum w:abstractNumId="5" w15:restartNumberingAfterBreak="0">
    <w:nsid w:val="23BC2E28"/>
    <w:multiLevelType w:val="multilevel"/>
    <w:tmpl w:val="C292E64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AA078F1"/>
    <w:multiLevelType w:val="multilevel"/>
    <w:tmpl w:val="34BA0FF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B940F36"/>
    <w:multiLevelType w:val="multilevel"/>
    <w:tmpl w:val="61E64FB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5251246"/>
    <w:multiLevelType w:val="hybridMultilevel"/>
    <w:tmpl w:val="56B01646"/>
    <w:lvl w:ilvl="0" w:tplc="C1FA5086">
      <w:start w:val="1"/>
      <w:numFmt w:val="bullet"/>
      <w:lvlText w:val="•"/>
      <w:lvlJc w:val="left"/>
      <w:pPr>
        <w:tabs>
          <w:tab w:val="num" w:pos="720"/>
        </w:tabs>
        <w:ind w:left="720" w:hanging="360"/>
      </w:pPr>
      <w:rPr>
        <w:rFonts w:hint="default" w:ascii="Arial" w:hAnsi="Arial"/>
      </w:rPr>
    </w:lvl>
    <w:lvl w:ilvl="1" w:tplc="805A7392" w:tentative="1">
      <w:start w:val="1"/>
      <w:numFmt w:val="bullet"/>
      <w:lvlText w:val="•"/>
      <w:lvlJc w:val="left"/>
      <w:pPr>
        <w:tabs>
          <w:tab w:val="num" w:pos="1440"/>
        </w:tabs>
        <w:ind w:left="1440" w:hanging="360"/>
      </w:pPr>
      <w:rPr>
        <w:rFonts w:hint="default" w:ascii="Arial" w:hAnsi="Arial"/>
      </w:rPr>
    </w:lvl>
    <w:lvl w:ilvl="2" w:tplc="15522BF8" w:tentative="1">
      <w:start w:val="1"/>
      <w:numFmt w:val="bullet"/>
      <w:lvlText w:val="•"/>
      <w:lvlJc w:val="left"/>
      <w:pPr>
        <w:tabs>
          <w:tab w:val="num" w:pos="2160"/>
        </w:tabs>
        <w:ind w:left="2160" w:hanging="360"/>
      </w:pPr>
      <w:rPr>
        <w:rFonts w:hint="default" w:ascii="Arial" w:hAnsi="Arial"/>
      </w:rPr>
    </w:lvl>
    <w:lvl w:ilvl="3" w:tplc="14F67710" w:tentative="1">
      <w:start w:val="1"/>
      <w:numFmt w:val="bullet"/>
      <w:lvlText w:val="•"/>
      <w:lvlJc w:val="left"/>
      <w:pPr>
        <w:tabs>
          <w:tab w:val="num" w:pos="2880"/>
        </w:tabs>
        <w:ind w:left="2880" w:hanging="360"/>
      </w:pPr>
      <w:rPr>
        <w:rFonts w:hint="default" w:ascii="Arial" w:hAnsi="Arial"/>
      </w:rPr>
    </w:lvl>
    <w:lvl w:ilvl="4" w:tplc="091A650E" w:tentative="1">
      <w:start w:val="1"/>
      <w:numFmt w:val="bullet"/>
      <w:lvlText w:val="•"/>
      <w:lvlJc w:val="left"/>
      <w:pPr>
        <w:tabs>
          <w:tab w:val="num" w:pos="3600"/>
        </w:tabs>
        <w:ind w:left="3600" w:hanging="360"/>
      </w:pPr>
      <w:rPr>
        <w:rFonts w:hint="default" w:ascii="Arial" w:hAnsi="Arial"/>
      </w:rPr>
    </w:lvl>
    <w:lvl w:ilvl="5" w:tplc="40D2157C" w:tentative="1">
      <w:start w:val="1"/>
      <w:numFmt w:val="bullet"/>
      <w:lvlText w:val="•"/>
      <w:lvlJc w:val="left"/>
      <w:pPr>
        <w:tabs>
          <w:tab w:val="num" w:pos="4320"/>
        </w:tabs>
        <w:ind w:left="4320" w:hanging="360"/>
      </w:pPr>
      <w:rPr>
        <w:rFonts w:hint="default" w:ascii="Arial" w:hAnsi="Arial"/>
      </w:rPr>
    </w:lvl>
    <w:lvl w:ilvl="6" w:tplc="8E9A297A" w:tentative="1">
      <w:start w:val="1"/>
      <w:numFmt w:val="bullet"/>
      <w:lvlText w:val="•"/>
      <w:lvlJc w:val="left"/>
      <w:pPr>
        <w:tabs>
          <w:tab w:val="num" w:pos="5040"/>
        </w:tabs>
        <w:ind w:left="5040" w:hanging="360"/>
      </w:pPr>
      <w:rPr>
        <w:rFonts w:hint="default" w:ascii="Arial" w:hAnsi="Arial"/>
      </w:rPr>
    </w:lvl>
    <w:lvl w:ilvl="7" w:tplc="AC0A8610" w:tentative="1">
      <w:start w:val="1"/>
      <w:numFmt w:val="bullet"/>
      <w:lvlText w:val="•"/>
      <w:lvlJc w:val="left"/>
      <w:pPr>
        <w:tabs>
          <w:tab w:val="num" w:pos="5760"/>
        </w:tabs>
        <w:ind w:left="5760" w:hanging="360"/>
      </w:pPr>
      <w:rPr>
        <w:rFonts w:hint="default" w:ascii="Arial" w:hAnsi="Arial"/>
      </w:rPr>
    </w:lvl>
    <w:lvl w:ilvl="8" w:tplc="93E418E2" w:tentative="1">
      <w:start w:val="1"/>
      <w:numFmt w:val="bullet"/>
      <w:lvlText w:val="•"/>
      <w:lvlJc w:val="left"/>
      <w:pPr>
        <w:tabs>
          <w:tab w:val="num" w:pos="6480"/>
        </w:tabs>
        <w:ind w:left="6480" w:hanging="360"/>
      </w:pPr>
      <w:rPr>
        <w:rFonts w:hint="default" w:ascii="Arial" w:hAnsi="Arial"/>
      </w:rPr>
    </w:lvl>
  </w:abstractNum>
  <w:abstractNum w:abstractNumId="9" w15:restartNumberingAfterBreak="0">
    <w:nsid w:val="48C87622"/>
    <w:multiLevelType w:val="multilevel"/>
    <w:tmpl w:val="9B660C8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B856F10"/>
    <w:multiLevelType w:val="hybridMultilevel"/>
    <w:tmpl w:val="2BA6E068"/>
    <w:lvl w:ilvl="0" w:tplc="8AECF6C8">
      <w:start w:val="1"/>
      <w:numFmt w:val="bullet"/>
      <w:lvlText w:val="•"/>
      <w:lvlJc w:val="left"/>
      <w:pPr>
        <w:tabs>
          <w:tab w:val="num" w:pos="720"/>
        </w:tabs>
        <w:ind w:left="720" w:hanging="360"/>
      </w:pPr>
      <w:rPr>
        <w:rFonts w:hint="default" w:ascii="Arial" w:hAnsi="Arial"/>
      </w:rPr>
    </w:lvl>
    <w:lvl w:ilvl="1" w:tplc="F0020D70" w:tentative="1">
      <w:start w:val="1"/>
      <w:numFmt w:val="bullet"/>
      <w:lvlText w:val="•"/>
      <w:lvlJc w:val="left"/>
      <w:pPr>
        <w:tabs>
          <w:tab w:val="num" w:pos="1440"/>
        </w:tabs>
        <w:ind w:left="1440" w:hanging="360"/>
      </w:pPr>
      <w:rPr>
        <w:rFonts w:hint="default" w:ascii="Arial" w:hAnsi="Arial"/>
      </w:rPr>
    </w:lvl>
    <w:lvl w:ilvl="2" w:tplc="C3B82646" w:tentative="1">
      <w:start w:val="1"/>
      <w:numFmt w:val="bullet"/>
      <w:lvlText w:val="•"/>
      <w:lvlJc w:val="left"/>
      <w:pPr>
        <w:tabs>
          <w:tab w:val="num" w:pos="2160"/>
        </w:tabs>
        <w:ind w:left="2160" w:hanging="360"/>
      </w:pPr>
      <w:rPr>
        <w:rFonts w:hint="default" w:ascii="Arial" w:hAnsi="Arial"/>
      </w:rPr>
    </w:lvl>
    <w:lvl w:ilvl="3" w:tplc="CDF279AC" w:tentative="1">
      <w:start w:val="1"/>
      <w:numFmt w:val="bullet"/>
      <w:lvlText w:val="•"/>
      <w:lvlJc w:val="left"/>
      <w:pPr>
        <w:tabs>
          <w:tab w:val="num" w:pos="2880"/>
        </w:tabs>
        <w:ind w:left="2880" w:hanging="360"/>
      </w:pPr>
      <w:rPr>
        <w:rFonts w:hint="default" w:ascii="Arial" w:hAnsi="Arial"/>
      </w:rPr>
    </w:lvl>
    <w:lvl w:ilvl="4" w:tplc="5AF49488" w:tentative="1">
      <w:start w:val="1"/>
      <w:numFmt w:val="bullet"/>
      <w:lvlText w:val="•"/>
      <w:lvlJc w:val="left"/>
      <w:pPr>
        <w:tabs>
          <w:tab w:val="num" w:pos="3600"/>
        </w:tabs>
        <w:ind w:left="3600" w:hanging="360"/>
      </w:pPr>
      <w:rPr>
        <w:rFonts w:hint="default" w:ascii="Arial" w:hAnsi="Arial"/>
      </w:rPr>
    </w:lvl>
    <w:lvl w:ilvl="5" w:tplc="A75E2A58" w:tentative="1">
      <w:start w:val="1"/>
      <w:numFmt w:val="bullet"/>
      <w:lvlText w:val="•"/>
      <w:lvlJc w:val="left"/>
      <w:pPr>
        <w:tabs>
          <w:tab w:val="num" w:pos="4320"/>
        </w:tabs>
        <w:ind w:left="4320" w:hanging="360"/>
      </w:pPr>
      <w:rPr>
        <w:rFonts w:hint="default" w:ascii="Arial" w:hAnsi="Arial"/>
      </w:rPr>
    </w:lvl>
    <w:lvl w:ilvl="6" w:tplc="BF00E2F2" w:tentative="1">
      <w:start w:val="1"/>
      <w:numFmt w:val="bullet"/>
      <w:lvlText w:val="•"/>
      <w:lvlJc w:val="left"/>
      <w:pPr>
        <w:tabs>
          <w:tab w:val="num" w:pos="5040"/>
        </w:tabs>
        <w:ind w:left="5040" w:hanging="360"/>
      </w:pPr>
      <w:rPr>
        <w:rFonts w:hint="default" w:ascii="Arial" w:hAnsi="Arial"/>
      </w:rPr>
    </w:lvl>
    <w:lvl w:ilvl="7" w:tplc="ECA62992" w:tentative="1">
      <w:start w:val="1"/>
      <w:numFmt w:val="bullet"/>
      <w:lvlText w:val="•"/>
      <w:lvlJc w:val="left"/>
      <w:pPr>
        <w:tabs>
          <w:tab w:val="num" w:pos="5760"/>
        </w:tabs>
        <w:ind w:left="5760" w:hanging="360"/>
      </w:pPr>
      <w:rPr>
        <w:rFonts w:hint="default" w:ascii="Arial" w:hAnsi="Arial"/>
      </w:rPr>
    </w:lvl>
    <w:lvl w:ilvl="8" w:tplc="47BC8BF8" w:tentative="1">
      <w:start w:val="1"/>
      <w:numFmt w:val="bullet"/>
      <w:lvlText w:val="•"/>
      <w:lvlJc w:val="left"/>
      <w:pPr>
        <w:tabs>
          <w:tab w:val="num" w:pos="6480"/>
        </w:tabs>
        <w:ind w:left="6480" w:hanging="360"/>
      </w:pPr>
      <w:rPr>
        <w:rFonts w:hint="default" w:ascii="Arial" w:hAnsi="Arial"/>
      </w:rPr>
    </w:lvl>
  </w:abstractNum>
  <w:abstractNum w:abstractNumId="11" w15:restartNumberingAfterBreak="0">
    <w:nsid w:val="4CEE1E13"/>
    <w:multiLevelType w:val="multilevel"/>
    <w:tmpl w:val="0D4CA10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4DA87AB7"/>
    <w:multiLevelType w:val="multilevel"/>
    <w:tmpl w:val="02781B0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53F65636"/>
    <w:multiLevelType w:val="hybridMultilevel"/>
    <w:tmpl w:val="4844B602"/>
    <w:lvl w:ilvl="0" w:tplc="F6907FD8">
      <w:start w:val="1"/>
      <w:numFmt w:val="bullet"/>
      <w:lvlText w:val="•"/>
      <w:lvlJc w:val="left"/>
      <w:pPr>
        <w:tabs>
          <w:tab w:val="num" w:pos="720"/>
        </w:tabs>
        <w:ind w:left="720" w:hanging="360"/>
      </w:pPr>
      <w:rPr>
        <w:rFonts w:hint="default" w:ascii="Arial" w:hAnsi="Arial"/>
      </w:rPr>
    </w:lvl>
    <w:lvl w:ilvl="1" w:tplc="ED265104" w:tentative="1">
      <w:start w:val="1"/>
      <w:numFmt w:val="bullet"/>
      <w:lvlText w:val="•"/>
      <w:lvlJc w:val="left"/>
      <w:pPr>
        <w:tabs>
          <w:tab w:val="num" w:pos="1440"/>
        </w:tabs>
        <w:ind w:left="1440" w:hanging="360"/>
      </w:pPr>
      <w:rPr>
        <w:rFonts w:hint="default" w:ascii="Arial" w:hAnsi="Arial"/>
      </w:rPr>
    </w:lvl>
    <w:lvl w:ilvl="2" w:tplc="7118FE56" w:tentative="1">
      <w:start w:val="1"/>
      <w:numFmt w:val="bullet"/>
      <w:lvlText w:val="•"/>
      <w:lvlJc w:val="left"/>
      <w:pPr>
        <w:tabs>
          <w:tab w:val="num" w:pos="2160"/>
        </w:tabs>
        <w:ind w:left="2160" w:hanging="360"/>
      </w:pPr>
      <w:rPr>
        <w:rFonts w:hint="default" w:ascii="Arial" w:hAnsi="Arial"/>
      </w:rPr>
    </w:lvl>
    <w:lvl w:ilvl="3" w:tplc="AD6CB404" w:tentative="1">
      <w:start w:val="1"/>
      <w:numFmt w:val="bullet"/>
      <w:lvlText w:val="•"/>
      <w:lvlJc w:val="left"/>
      <w:pPr>
        <w:tabs>
          <w:tab w:val="num" w:pos="2880"/>
        </w:tabs>
        <w:ind w:left="2880" w:hanging="360"/>
      </w:pPr>
      <w:rPr>
        <w:rFonts w:hint="default" w:ascii="Arial" w:hAnsi="Arial"/>
      </w:rPr>
    </w:lvl>
    <w:lvl w:ilvl="4" w:tplc="AFBAEDDE" w:tentative="1">
      <w:start w:val="1"/>
      <w:numFmt w:val="bullet"/>
      <w:lvlText w:val="•"/>
      <w:lvlJc w:val="left"/>
      <w:pPr>
        <w:tabs>
          <w:tab w:val="num" w:pos="3600"/>
        </w:tabs>
        <w:ind w:left="3600" w:hanging="360"/>
      </w:pPr>
      <w:rPr>
        <w:rFonts w:hint="default" w:ascii="Arial" w:hAnsi="Arial"/>
      </w:rPr>
    </w:lvl>
    <w:lvl w:ilvl="5" w:tplc="03E24DB6" w:tentative="1">
      <w:start w:val="1"/>
      <w:numFmt w:val="bullet"/>
      <w:lvlText w:val="•"/>
      <w:lvlJc w:val="left"/>
      <w:pPr>
        <w:tabs>
          <w:tab w:val="num" w:pos="4320"/>
        </w:tabs>
        <w:ind w:left="4320" w:hanging="360"/>
      </w:pPr>
      <w:rPr>
        <w:rFonts w:hint="default" w:ascii="Arial" w:hAnsi="Arial"/>
      </w:rPr>
    </w:lvl>
    <w:lvl w:ilvl="6" w:tplc="AEDA91A8" w:tentative="1">
      <w:start w:val="1"/>
      <w:numFmt w:val="bullet"/>
      <w:lvlText w:val="•"/>
      <w:lvlJc w:val="left"/>
      <w:pPr>
        <w:tabs>
          <w:tab w:val="num" w:pos="5040"/>
        </w:tabs>
        <w:ind w:left="5040" w:hanging="360"/>
      </w:pPr>
      <w:rPr>
        <w:rFonts w:hint="default" w:ascii="Arial" w:hAnsi="Arial"/>
      </w:rPr>
    </w:lvl>
    <w:lvl w:ilvl="7" w:tplc="55C4BA06" w:tentative="1">
      <w:start w:val="1"/>
      <w:numFmt w:val="bullet"/>
      <w:lvlText w:val="•"/>
      <w:lvlJc w:val="left"/>
      <w:pPr>
        <w:tabs>
          <w:tab w:val="num" w:pos="5760"/>
        </w:tabs>
        <w:ind w:left="5760" w:hanging="360"/>
      </w:pPr>
      <w:rPr>
        <w:rFonts w:hint="default" w:ascii="Arial" w:hAnsi="Arial"/>
      </w:rPr>
    </w:lvl>
    <w:lvl w:ilvl="8" w:tplc="EB20CF52" w:tentative="1">
      <w:start w:val="1"/>
      <w:numFmt w:val="bullet"/>
      <w:lvlText w:val="•"/>
      <w:lvlJc w:val="left"/>
      <w:pPr>
        <w:tabs>
          <w:tab w:val="num" w:pos="6480"/>
        </w:tabs>
        <w:ind w:left="6480" w:hanging="360"/>
      </w:pPr>
      <w:rPr>
        <w:rFonts w:hint="default" w:ascii="Arial" w:hAnsi="Arial"/>
      </w:rPr>
    </w:lvl>
  </w:abstractNum>
  <w:abstractNum w:abstractNumId="14" w15:restartNumberingAfterBreak="0">
    <w:nsid w:val="59D46DF5"/>
    <w:multiLevelType w:val="multilevel"/>
    <w:tmpl w:val="3B86F7F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77246A1B"/>
    <w:multiLevelType w:val="multilevel"/>
    <w:tmpl w:val="D90E840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7A015CC1"/>
    <w:multiLevelType w:val="multilevel"/>
    <w:tmpl w:val="460A4BE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7ACA5F6E"/>
    <w:multiLevelType w:val="multilevel"/>
    <w:tmpl w:val="914EFED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7BE96D58"/>
    <w:multiLevelType w:val="multilevel"/>
    <w:tmpl w:val="296A4D4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7F9850EE"/>
    <w:multiLevelType w:val="multilevel"/>
    <w:tmpl w:val="11D6C15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num w:numId="1" w16cid:durableId="1092581445">
    <w:abstractNumId w:val="0"/>
  </w:num>
  <w:num w:numId="2" w16cid:durableId="1688672058">
    <w:abstractNumId w:val="12"/>
  </w:num>
  <w:num w:numId="3" w16cid:durableId="1793673132">
    <w:abstractNumId w:val="18"/>
  </w:num>
  <w:num w:numId="4" w16cid:durableId="182329927">
    <w:abstractNumId w:val="2"/>
  </w:num>
  <w:num w:numId="5" w16cid:durableId="1904679750">
    <w:abstractNumId w:val="15"/>
  </w:num>
  <w:num w:numId="6" w16cid:durableId="2013560348">
    <w:abstractNumId w:val="8"/>
  </w:num>
  <w:num w:numId="7" w16cid:durableId="2021740066">
    <w:abstractNumId w:val="14"/>
  </w:num>
  <w:num w:numId="8" w16cid:durableId="204803894">
    <w:abstractNumId w:val="13"/>
  </w:num>
  <w:num w:numId="9" w16cid:durableId="2075541673">
    <w:abstractNumId w:val="9"/>
  </w:num>
  <w:num w:numId="10" w16cid:durableId="2088726761">
    <w:abstractNumId w:val="1"/>
  </w:num>
  <w:num w:numId="11" w16cid:durableId="263729232">
    <w:abstractNumId w:val="19"/>
  </w:num>
  <w:num w:numId="12" w16cid:durableId="327903220">
    <w:abstractNumId w:val="17"/>
  </w:num>
  <w:num w:numId="13" w16cid:durableId="399013545">
    <w:abstractNumId w:val="3"/>
  </w:num>
  <w:num w:numId="14" w16cid:durableId="475072957">
    <w:abstractNumId w:val="7"/>
  </w:num>
  <w:num w:numId="15" w16cid:durableId="50470134">
    <w:abstractNumId w:val="5"/>
  </w:num>
  <w:num w:numId="16" w16cid:durableId="53967563">
    <w:abstractNumId w:val="6"/>
  </w:num>
  <w:num w:numId="17" w16cid:durableId="658195106">
    <w:abstractNumId w:val="16"/>
  </w:num>
  <w:num w:numId="18" w16cid:durableId="693119956">
    <w:abstractNumId w:val="10"/>
  </w:num>
  <w:num w:numId="19" w16cid:durableId="843084828">
    <w:abstractNumId w:val="4"/>
  </w:num>
  <w:num w:numId="20" w16cid:durableId="909540369">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D28"/>
    <w:rsid w:val="0000653C"/>
    <w:rsid w:val="00020E79"/>
    <w:rsid w:val="0003578F"/>
    <w:rsid w:val="00037D81"/>
    <w:rsid w:val="00064BFE"/>
    <w:rsid w:val="000C6A1B"/>
    <w:rsid w:val="001170F1"/>
    <w:rsid w:val="00166FBB"/>
    <w:rsid w:val="00176D35"/>
    <w:rsid w:val="001827F1"/>
    <w:rsid w:val="001C31D0"/>
    <w:rsid w:val="001C73E5"/>
    <w:rsid w:val="001D2F3E"/>
    <w:rsid w:val="00214385"/>
    <w:rsid w:val="0025284D"/>
    <w:rsid w:val="002B009E"/>
    <w:rsid w:val="002D4A52"/>
    <w:rsid w:val="003648BC"/>
    <w:rsid w:val="00372214"/>
    <w:rsid w:val="003B4855"/>
    <w:rsid w:val="003C7D94"/>
    <w:rsid w:val="0040427B"/>
    <w:rsid w:val="00404C42"/>
    <w:rsid w:val="00421DBD"/>
    <w:rsid w:val="0042251C"/>
    <w:rsid w:val="004276C2"/>
    <w:rsid w:val="0045259E"/>
    <w:rsid w:val="004A775C"/>
    <w:rsid w:val="004C3F14"/>
    <w:rsid w:val="00500805"/>
    <w:rsid w:val="005128EF"/>
    <w:rsid w:val="005348E3"/>
    <w:rsid w:val="00572F75"/>
    <w:rsid w:val="005D20A1"/>
    <w:rsid w:val="005F719B"/>
    <w:rsid w:val="00611F98"/>
    <w:rsid w:val="00673CC6"/>
    <w:rsid w:val="00680A00"/>
    <w:rsid w:val="006D404F"/>
    <w:rsid w:val="007028A0"/>
    <w:rsid w:val="00711DD8"/>
    <w:rsid w:val="00724D28"/>
    <w:rsid w:val="00746C25"/>
    <w:rsid w:val="007649C3"/>
    <w:rsid w:val="007801E9"/>
    <w:rsid w:val="008713A5"/>
    <w:rsid w:val="00871F67"/>
    <w:rsid w:val="008C7856"/>
    <w:rsid w:val="008E2D80"/>
    <w:rsid w:val="008E5500"/>
    <w:rsid w:val="009E58D3"/>
    <w:rsid w:val="00A10324"/>
    <w:rsid w:val="00AD1C24"/>
    <w:rsid w:val="00AE58DB"/>
    <w:rsid w:val="00B17841"/>
    <w:rsid w:val="00B25C5C"/>
    <w:rsid w:val="00BE7327"/>
    <w:rsid w:val="00CC0227"/>
    <w:rsid w:val="00CF1AD3"/>
    <w:rsid w:val="00D73B02"/>
    <w:rsid w:val="00D77F12"/>
    <w:rsid w:val="00D809FD"/>
    <w:rsid w:val="00DA601F"/>
    <w:rsid w:val="00DC2E7B"/>
    <w:rsid w:val="00E4387D"/>
    <w:rsid w:val="00E72EE7"/>
    <w:rsid w:val="00E93264"/>
    <w:rsid w:val="00E93FF4"/>
    <w:rsid w:val="00EA047F"/>
    <w:rsid w:val="00EC592D"/>
    <w:rsid w:val="00EF0F9E"/>
    <w:rsid w:val="00F81D3F"/>
    <w:rsid w:val="122FB8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12D05"/>
  <w15:chartTrackingRefBased/>
  <w15:docId w15:val="{58B36D38-DF3E-4FA9-9AA7-4860CAEA3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4D28"/>
  </w:style>
  <w:style w:type="paragraph" w:styleId="Heading1">
    <w:name w:val="heading 1"/>
    <w:basedOn w:val="Normal"/>
    <w:next w:val="Normal"/>
    <w:link w:val="Heading1Char"/>
    <w:uiPriority w:val="9"/>
    <w:qFormat/>
    <w:rsid w:val="00EA047F"/>
    <w:pPr>
      <w:keepNext/>
      <w:keepLines/>
      <w:spacing w:before="240"/>
      <w:outlineLvl w:val="0"/>
    </w:pPr>
    <w:rPr>
      <w:rFonts w:asciiTheme="majorHAnsi" w:hAnsiTheme="majorHAnsi" w:eastAsiaTheme="majorEastAsia" w:cstheme="majorBidi"/>
      <w:color w:val="365F9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724D28"/>
    <w:pPr>
      <w:pBdr>
        <w:top w:val="nil"/>
        <w:left w:val="nil"/>
        <w:bottom w:val="nil"/>
        <w:right w:val="nil"/>
        <w:between w:val="nil"/>
        <w:bar w:val="nil"/>
      </w:pBdr>
    </w:pPr>
    <w:rPr>
      <w:rFonts w:ascii="Helvetica Neue" w:hAnsi="Helvetica Neue" w:eastAsia="Arial Unicode MS" w:cs="Arial Unicode MS"/>
      <w:color w:val="000000"/>
      <w:sz w:val="22"/>
      <w:bdr w:val="nil"/>
      <w:lang w:eastAsia="en-CA"/>
    </w:rPr>
  </w:style>
  <w:style w:type="paragraph" w:styleId="NoSpacing">
    <w:name w:val="No Spacing"/>
    <w:uiPriority w:val="1"/>
    <w:qFormat/>
    <w:rsid w:val="00EA047F"/>
  </w:style>
  <w:style w:type="character" w:styleId="Heading1Char" w:customStyle="1">
    <w:name w:val="Heading 1 Char"/>
    <w:basedOn w:val="DefaultParagraphFont"/>
    <w:link w:val="Heading1"/>
    <w:uiPriority w:val="9"/>
    <w:rsid w:val="00EA047F"/>
    <w:rPr>
      <w:rFonts w:asciiTheme="majorHAnsi" w:hAnsiTheme="majorHAnsi" w:eastAsiaTheme="majorEastAsia" w:cstheme="majorBidi"/>
      <w:color w:val="365F91" w:themeColor="accent1" w:themeShade="BF"/>
      <w:sz w:val="32"/>
      <w:szCs w:val="32"/>
    </w:rPr>
  </w:style>
  <w:style w:type="paragraph" w:styleId="ListParagraph">
    <w:name w:val="List Paragraph"/>
    <w:basedOn w:val="Normal"/>
    <w:uiPriority w:val="34"/>
    <w:qFormat/>
    <w:rsid w:val="0025284D"/>
    <w:pPr>
      <w:ind w:left="720"/>
      <w:contextualSpacing/>
    </w:pPr>
  </w:style>
  <w:style w:type="paragraph" w:styleId="TableParagraph" w:customStyle="1">
    <w:name w:val="Table Paragraph"/>
    <w:basedOn w:val="Normal"/>
    <w:uiPriority w:val="1"/>
    <w:qFormat/>
    <w:rsid w:val="00AE58DB"/>
    <w:pPr>
      <w:widowControl w:val="0"/>
      <w:autoSpaceDE w:val="0"/>
      <w:autoSpaceDN w:val="0"/>
    </w:pPr>
    <w:rPr>
      <w:rFonts w:eastAsia="Times New Roman" w:cs="Times New Roman"/>
      <w:sz w:val="22"/>
    </w:rPr>
  </w:style>
  <w:style w:type="character" w:styleId="Hyperlink">
    <w:name w:val="Hyperlink"/>
    <w:basedOn w:val="DefaultParagraphFont"/>
    <w:uiPriority w:val="99"/>
    <w:semiHidden/>
    <w:unhideWhenUsed/>
    <w:rsid w:val="0040427B"/>
    <w:rPr>
      <w:color w:val="0563C1"/>
      <w:u w:val="single"/>
    </w:rPr>
  </w:style>
  <w:style w:type="paragraph" w:styleId="BodyText">
    <w:name w:val="Body Text"/>
    <w:basedOn w:val="Normal"/>
    <w:link w:val="BodyTextChar"/>
    <w:uiPriority w:val="99"/>
    <w:semiHidden/>
    <w:unhideWhenUsed/>
    <w:rsid w:val="00746C25"/>
    <w:pPr>
      <w:spacing w:after="120"/>
    </w:pPr>
  </w:style>
  <w:style w:type="character" w:styleId="BodyTextChar" w:customStyle="1">
    <w:name w:val="Body Text Char"/>
    <w:basedOn w:val="DefaultParagraphFont"/>
    <w:link w:val="BodyText"/>
    <w:uiPriority w:val="99"/>
    <w:semiHidden/>
    <w:rsid w:val="00746C25"/>
  </w:style>
  <w:style w:type="paragraph" w:styleId="xxtableparagraph" w:customStyle="1">
    <w:name w:val="x_xtableparagraph"/>
    <w:basedOn w:val="Normal"/>
    <w:rsid w:val="00214385"/>
    <w:pPr>
      <w:autoSpaceDE w:val="0"/>
      <w:autoSpaceDN w:val="0"/>
    </w:pPr>
    <w:rPr>
      <w:rFonts w:cs="Times New Roman"/>
      <w:sz w:val="22"/>
      <w:lang w:val="en-CA" w:eastAsia="en-CA"/>
    </w:rPr>
  </w:style>
  <w:style w:type="paragraph" w:styleId="NormalWeb">
    <w:name w:val="Normal (Web)"/>
    <w:basedOn w:val="Normal"/>
    <w:uiPriority w:val="99"/>
    <w:unhideWhenUsed/>
    <w:rsid w:val="00CC0227"/>
    <w:pPr>
      <w:spacing w:before="100" w:beforeAutospacing="1" w:after="100" w:afterAutospacing="1"/>
    </w:pPr>
    <w:rPr>
      <w:rFonts w:eastAsia="Times New Roman" w:cs="Times New Roman"/>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713">
      <w:bodyDiv w:val="1"/>
      <w:marLeft w:val="0"/>
      <w:marRight w:val="0"/>
      <w:marTop w:val="0"/>
      <w:marBottom w:val="0"/>
      <w:divBdr>
        <w:top w:val="none" w:sz="0" w:space="0" w:color="auto"/>
        <w:left w:val="none" w:sz="0" w:space="0" w:color="auto"/>
        <w:bottom w:val="none" w:sz="0" w:space="0" w:color="auto"/>
        <w:right w:val="none" w:sz="0" w:space="0" w:color="auto"/>
      </w:divBdr>
    </w:div>
    <w:div w:id="286274755">
      <w:bodyDiv w:val="1"/>
      <w:marLeft w:val="0"/>
      <w:marRight w:val="0"/>
      <w:marTop w:val="0"/>
      <w:marBottom w:val="0"/>
      <w:divBdr>
        <w:top w:val="none" w:sz="0" w:space="0" w:color="auto"/>
        <w:left w:val="none" w:sz="0" w:space="0" w:color="auto"/>
        <w:bottom w:val="none" w:sz="0" w:space="0" w:color="auto"/>
        <w:right w:val="none" w:sz="0" w:space="0" w:color="auto"/>
      </w:divBdr>
    </w:div>
    <w:div w:id="356859210">
      <w:bodyDiv w:val="1"/>
      <w:marLeft w:val="0"/>
      <w:marRight w:val="0"/>
      <w:marTop w:val="0"/>
      <w:marBottom w:val="0"/>
      <w:divBdr>
        <w:top w:val="none" w:sz="0" w:space="0" w:color="auto"/>
        <w:left w:val="none" w:sz="0" w:space="0" w:color="auto"/>
        <w:bottom w:val="none" w:sz="0" w:space="0" w:color="auto"/>
        <w:right w:val="none" w:sz="0" w:space="0" w:color="auto"/>
      </w:divBdr>
    </w:div>
    <w:div w:id="394085727">
      <w:bodyDiv w:val="1"/>
      <w:marLeft w:val="0"/>
      <w:marRight w:val="0"/>
      <w:marTop w:val="0"/>
      <w:marBottom w:val="0"/>
      <w:divBdr>
        <w:top w:val="none" w:sz="0" w:space="0" w:color="auto"/>
        <w:left w:val="none" w:sz="0" w:space="0" w:color="auto"/>
        <w:bottom w:val="none" w:sz="0" w:space="0" w:color="auto"/>
        <w:right w:val="none" w:sz="0" w:space="0" w:color="auto"/>
      </w:divBdr>
    </w:div>
    <w:div w:id="411196269">
      <w:bodyDiv w:val="1"/>
      <w:marLeft w:val="0"/>
      <w:marRight w:val="0"/>
      <w:marTop w:val="0"/>
      <w:marBottom w:val="0"/>
      <w:divBdr>
        <w:top w:val="none" w:sz="0" w:space="0" w:color="auto"/>
        <w:left w:val="none" w:sz="0" w:space="0" w:color="auto"/>
        <w:bottom w:val="none" w:sz="0" w:space="0" w:color="auto"/>
        <w:right w:val="none" w:sz="0" w:space="0" w:color="auto"/>
      </w:divBdr>
    </w:div>
    <w:div w:id="502286314">
      <w:bodyDiv w:val="1"/>
      <w:marLeft w:val="0"/>
      <w:marRight w:val="0"/>
      <w:marTop w:val="0"/>
      <w:marBottom w:val="0"/>
      <w:divBdr>
        <w:top w:val="none" w:sz="0" w:space="0" w:color="auto"/>
        <w:left w:val="none" w:sz="0" w:space="0" w:color="auto"/>
        <w:bottom w:val="none" w:sz="0" w:space="0" w:color="auto"/>
        <w:right w:val="none" w:sz="0" w:space="0" w:color="auto"/>
      </w:divBdr>
    </w:div>
    <w:div w:id="521478782">
      <w:bodyDiv w:val="1"/>
      <w:marLeft w:val="0"/>
      <w:marRight w:val="0"/>
      <w:marTop w:val="0"/>
      <w:marBottom w:val="0"/>
      <w:divBdr>
        <w:top w:val="none" w:sz="0" w:space="0" w:color="auto"/>
        <w:left w:val="none" w:sz="0" w:space="0" w:color="auto"/>
        <w:bottom w:val="none" w:sz="0" w:space="0" w:color="auto"/>
        <w:right w:val="none" w:sz="0" w:space="0" w:color="auto"/>
      </w:divBdr>
    </w:div>
    <w:div w:id="588275532">
      <w:bodyDiv w:val="1"/>
      <w:marLeft w:val="0"/>
      <w:marRight w:val="0"/>
      <w:marTop w:val="0"/>
      <w:marBottom w:val="0"/>
      <w:divBdr>
        <w:top w:val="none" w:sz="0" w:space="0" w:color="auto"/>
        <w:left w:val="none" w:sz="0" w:space="0" w:color="auto"/>
        <w:bottom w:val="none" w:sz="0" w:space="0" w:color="auto"/>
        <w:right w:val="none" w:sz="0" w:space="0" w:color="auto"/>
      </w:divBdr>
    </w:div>
    <w:div w:id="604848493">
      <w:bodyDiv w:val="1"/>
      <w:marLeft w:val="0"/>
      <w:marRight w:val="0"/>
      <w:marTop w:val="0"/>
      <w:marBottom w:val="0"/>
      <w:divBdr>
        <w:top w:val="none" w:sz="0" w:space="0" w:color="auto"/>
        <w:left w:val="none" w:sz="0" w:space="0" w:color="auto"/>
        <w:bottom w:val="none" w:sz="0" w:space="0" w:color="auto"/>
        <w:right w:val="none" w:sz="0" w:space="0" w:color="auto"/>
      </w:divBdr>
    </w:div>
    <w:div w:id="714739786">
      <w:bodyDiv w:val="1"/>
      <w:marLeft w:val="0"/>
      <w:marRight w:val="0"/>
      <w:marTop w:val="0"/>
      <w:marBottom w:val="0"/>
      <w:divBdr>
        <w:top w:val="none" w:sz="0" w:space="0" w:color="auto"/>
        <w:left w:val="none" w:sz="0" w:space="0" w:color="auto"/>
        <w:bottom w:val="none" w:sz="0" w:space="0" w:color="auto"/>
        <w:right w:val="none" w:sz="0" w:space="0" w:color="auto"/>
      </w:divBdr>
    </w:div>
    <w:div w:id="753169810">
      <w:bodyDiv w:val="1"/>
      <w:marLeft w:val="0"/>
      <w:marRight w:val="0"/>
      <w:marTop w:val="0"/>
      <w:marBottom w:val="0"/>
      <w:divBdr>
        <w:top w:val="none" w:sz="0" w:space="0" w:color="auto"/>
        <w:left w:val="none" w:sz="0" w:space="0" w:color="auto"/>
        <w:bottom w:val="none" w:sz="0" w:space="0" w:color="auto"/>
        <w:right w:val="none" w:sz="0" w:space="0" w:color="auto"/>
      </w:divBdr>
    </w:div>
    <w:div w:id="863251277">
      <w:bodyDiv w:val="1"/>
      <w:marLeft w:val="0"/>
      <w:marRight w:val="0"/>
      <w:marTop w:val="0"/>
      <w:marBottom w:val="0"/>
      <w:divBdr>
        <w:top w:val="none" w:sz="0" w:space="0" w:color="auto"/>
        <w:left w:val="none" w:sz="0" w:space="0" w:color="auto"/>
        <w:bottom w:val="none" w:sz="0" w:space="0" w:color="auto"/>
        <w:right w:val="none" w:sz="0" w:space="0" w:color="auto"/>
      </w:divBdr>
    </w:div>
    <w:div w:id="946696631">
      <w:bodyDiv w:val="1"/>
      <w:marLeft w:val="0"/>
      <w:marRight w:val="0"/>
      <w:marTop w:val="0"/>
      <w:marBottom w:val="0"/>
      <w:divBdr>
        <w:top w:val="none" w:sz="0" w:space="0" w:color="auto"/>
        <w:left w:val="none" w:sz="0" w:space="0" w:color="auto"/>
        <w:bottom w:val="none" w:sz="0" w:space="0" w:color="auto"/>
        <w:right w:val="none" w:sz="0" w:space="0" w:color="auto"/>
      </w:divBdr>
    </w:div>
    <w:div w:id="991448175">
      <w:bodyDiv w:val="1"/>
      <w:marLeft w:val="0"/>
      <w:marRight w:val="0"/>
      <w:marTop w:val="0"/>
      <w:marBottom w:val="0"/>
      <w:divBdr>
        <w:top w:val="none" w:sz="0" w:space="0" w:color="auto"/>
        <w:left w:val="none" w:sz="0" w:space="0" w:color="auto"/>
        <w:bottom w:val="none" w:sz="0" w:space="0" w:color="auto"/>
        <w:right w:val="none" w:sz="0" w:space="0" w:color="auto"/>
      </w:divBdr>
    </w:div>
    <w:div w:id="1009254635">
      <w:bodyDiv w:val="1"/>
      <w:marLeft w:val="0"/>
      <w:marRight w:val="0"/>
      <w:marTop w:val="0"/>
      <w:marBottom w:val="0"/>
      <w:divBdr>
        <w:top w:val="none" w:sz="0" w:space="0" w:color="auto"/>
        <w:left w:val="none" w:sz="0" w:space="0" w:color="auto"/>
        <w:bottom w:val="none" w:sz="0" w:space="0" w:color="auto"/>
        <w:right w:val="none" w:sz="0" w:space="0" w:color="auto"/>
      </w:divBdr>
    </w:div>
    <w:div w:id="1021858246">
      <w:bodyDiv w:val="1"/>
      <w:marLeft w:val="0"/>
      <w:marRight w:val="0"/>
      <w:marTop w:val="0"/>
      <w:marBottom w:val="0"/>
      <w:divBdr>
        <w:top w:val="none" w:sz="0" w:space="0" w:color="auto"/>
        <w:left w:val="none" w:sz="0" w:space="0" w:color="auto"/>
        <w:bottom w:val="none" w:sz="0" w:space="0" w:color="auto"/>
        <w:right w:val="none" w:sz="0" w:space="0" w:color="auto"/>
      </w:divBdr>
    </w:div>
    <w:div w:id="1050153095">
      <w:bodyDiv w:val="1"/>
      <w:marLeft w:val="0"/>
      <w:marRight w:val="0"/>
      <w:marTop w:val="0"/>
      <w:marBottom w:val="0"/>
      <w:divBdr>
        <w:top w:val="none" w:sz="0" w:space="0" w:color="auto"/>
        <w:left w:val="none" w:sz="0" w:space="0" w:color="auto"/>
        <w:bottom w:val="none" w:sz="0" w:space="0" w:color="auto"/>
        <w:right w:val="none" w:sz="0" w:space="0" w:color="auto"/>
      </w:divBdr>
    </w:div>
    <w:div w:id="1052584069">
      <w:bodyDiv w:val="1"/>
      <w:marLeft w:val="0"/>
      <w:marRight w:val="0"/>
      <w:marTop w:val="0"/>
      <w:marBottom w:val="0"/>
      <w:divBdr>
        <w:top w:val="none" w:sz="0" w:space="0" w:color="auto"/>
        <w:left w:val="none" w:sz="0" w:space="0" w:color="auto"/>
        <w:bottom w:val="none" w:sz="0" w:space="0" w:color="auto"/>
        <w:right w:val="none" w:sz="0" w:space="0" w:color="auto"/>
      </w:divBdr>
    </w:div>
    <w:div w:id="1077479256">
      <w:bodyDiv w:val="1"/>
      <w:marLeft w:val="0"/>
      <w:marRight w:val="0"/>
      <w:marTop w:val="0"/>
      <w:marBottom w:val="0"/>
      <w:divBdr>
        <w:top w:val="none" w:sz="0" w:space="0" w:color="auto"/>
        <w:left w:val="none" w:sz="0" w:space="0" w:color="auto"/>
        <w:bottom w:val="none" w:sz="0" w:space="0" w:color="auto"/>
        <w:right w:val="none" w:sz="0" w:space="0" w:color="auto"/>
      </w:divBdr>
    </w:div>
    <w:div w:id="1108045123">
      <w:bodyDiv w:val="1"/>
      <w:marLeft w:val="0"/>
      <w:marRight w:val="0"/>
      <w:marTop w:val="0"/>
      <w:marBottom w:val="0"/>
      <w:divBdr>
        <w:top w:val="none" w:sz="0" w:space="0" w:color="auto"/>
        <w:left w:val="none" w:sz="0" w:space="0" w:color="auto"/>
        <w:bottom w:val="none" w:sz="0" w:space="0" w:color="auto"/>
        <w:right w:val="none" w:sz="0" w:space="0" w:color="auto"/>
      </w:divBdr>
    </w:div>
    <w:div w:id="1140805084">
      <w:bodyDiv w:val="1"/>
      <w:marLeft w:val="0"/>
      <w:marRight w:val="0"/>
      <w:marTop w:val="0"/>
      <w:marBottom w:val="0"/>
      <w:divBdr>
        <w:top w:val="none" w:sz="0" w:space="0" w:color="auto"/>
        <w:left w:val="none" w:sz="0" w:space="0" w:color="auto"/>
        <w:bottom w:val="none" w:sz="0" w:space="0" w:color="auto"/>
        <w:right w:val="none" w:sz="0" w:space="0" w:color="auto"/>
      </w:divBdr>
    </w:div>
    <w:div w:id="1198814810">
      <w:bodyDiv w:val="1"/>
      <w:marLeft w:val="0"/>
      <w:marRight w:val="0"/>
      <w:marTop w:val="0"/>
      <w:marBottom w:val="0"/>
      <w:divBdr>
        <w:top w:val="none" w:sz="0" w:space="0" w:color="auto"/>
        <w:left w:val="none" w:sz="0" w:space="0" w:color="auto"/>
        <w:bottom w:val="none" w:sz="0" w:space="0" w:color="auto"/>
        <w:right w:val="none" w:sz="0" w:space="0" w:color="auto"/>
      </w:divBdr>
    </w:div>
    <w:div w:id="1271862399">
      <w:bodyDiv w:val="1"/>
      <w:marLeft w:val="0"/>
      <w:marRight w:val="0"/>
      <w:marTop w:val="0"/>
      <w:marBottom w:val="0"/>
      <w:divBdr>
        <w:top w:val="none" w:sz="0" w:space="0" w:color="auto"/>
        <w:left w:val="none" w:sz="0" w:space="0" w:color="auto"/>
        <w:bottom w:val="none" w:sz="0" w:space="0" w:color="auto"/>
        <w:right w:val="none" w:sz="0" w:space="0" w:color="auto"/>
      </w:divBdr>
    </w:div>
    <w:div w:id="1311444067">
      <w:bodyDiv w:val="1"/>
      <w:marLeft w:val="0"/>
      <w:marRight w:val="0"/>
      <w:marTop w:val="0"/>
      <w:marBottom w:val="0"/>
      <w:divBdr>
        <w:top w:val="none" w:sz="0" w:space="0" w:color="auto"/>
        <w:left w:val="none" w:sz="0" w:space="0" w:color="auto"/>
        <w:bottom w:val="none" w:sz="0" w:space="0" w:color="auto"/>
        <w:right w:val="none" w:sz="0" w:space="0" w:color="auto"/>
      </w:divBdr>
    </w:div>
    <w:div w:id="1330134315">
      <w:bodyDiv w:val="1"/>
      <w:marLeft w:val="0"/>
      <w:marRight w:val="0"/>
      <w:marTop w:val="0"/>
      <w:marBottom w:val="0"/>
      <w:divBdr>
        <w:top w:val="none" w:sz="0" w:space="0" w:color="auto"/>
        <w:left w:val="none" w:sz="0" w:space="0" w:color="auto"/>
        <w:bottom w:val="none" w:sz="0" w:space="0" w:color="auto"/>
        <w:right w:val="none" w:sz="0" w:space="0" w:color="auto"/>
      </w:divBdr>
    </w:div>
    <w:div w:id="1331711383">
      <w:bodyDiv w:val="1"/>
      <w:marLeft w:val="0"/>
      <w:marRight w:val="0"/>
      <w:marTop w:val="0"/>
      <w:marBottom w:val="0"/>
      <w:divBdr>
        <w:top w:val="none" w:sz="0" w:space="0" w:color="auto"/>
        <w:left w:val="none" w:sz="0" w:space="0" w:color="auto"/>
        <w:bottom w:val="none" w:sz="0" w:space="0" w:color="auto"/>
        <w:right w:val="none" w:sz="0" w:space="0" w:color="auto"/>
      </w:divBdr>
    </w:div>
    <w:div w:id="1444032528">
      <w:bodyDiv w:val="1"/>
      <w:marLeft w:val="0"/>
      <w:marRight w:val="0"/>
      <w:marTop w:val="0"/>
      <w:marBottom w:val="0"/>
      <w:divBdr>
        <w:top w:val="none" w:sz="0" w:space="0" w:color="auto"/>
        <w:left w:val="none" w:sz="0" w:space="0" w:color="auto"/>
        <w:bottom w:val="none" w:sz="0" w:space="0" w:color="auto"/>
        <w:right w:val="none" w:sz="0" w:space="0" w:color="auto"/>
      </w:divBdr>
    </w:div>
    <w:div w:id="1454447121">
      <w:bodyDiv w:val="1"/>
      <w:marLeft w:val="0"/>
      <w:marRight w:val="0"/>
      <w:marTop w:val="0"/>
      <w:marBottom w:val="0"/>
      <w:divBdr>
        <w:top w:val="none" w:sz="0" w:space="0" w:color="auto"/>
        <w:left w:val="none" w:sz="0" w:space="0" w:color="auto"/>
        <w:bottom w:val="none" w:sz="0" w:space="0" w:color="auto"/>
        <w:right w:val="none" w:sz="0" w:space="0" w:color="auto"/>
      </w:divBdr>
    </w:div>
    <w:div w:id="1464538746">
      <w:bodyDiv w:val="1"/>
      <w:marLeft w:val="0"/>
      <w:marRight w:val="0"/>
      <w:marTop w:val="0"/>
      <w:marBottom w:val="0"/>
      <w:divBdr>
        <w:top w:val="none" w:sz="0" w:space="0" w:color="auto"/>
        <w:left w:val="none" w:sz="0" w:space="0" w:color="auto"/>
        <w:bottom w:val="none" w:sz="0" w:space="0" w:color="auto"/>
        <w:right w:val="none" w:sz="0" w:space="0" w:color="auto"/>
      </w:divBdr>
    </w:div>
    <w:div w:id="1500997399">
      <w:bodyDiv w:val="1"/>
      <w:marLeft w:val="0"/>
      <w:marRight w:val="0"/>
      <w:marTop w:val="0"/>
      <w:marBottom w:val="0"/>
      <w:divBdr>
        <w:top w:val="none" w:sz="0" w:space="0" w:color="auto"/>
        <w:left w:val="none" w:sz="0" w:space="0" w:color="auto"/>
        <w:bottom w:val="none" w:sz="0" w:space="0" w:color="auto"/>
        <w:right w:val="none" w:sz="0" w:space="0" w:color="auto"/>
      </w:divBdr>
    </w:div>
    <w:div w:id="1542475643">
      <w:bodyDiv w:val="1"/>
      <w:marLeft w:val="0"/>
      <w:marRight w:val="0"/>
      <w:marTop w:val="0"/>
      <w:marBottom w:val="0"/>
      <w:divBdr>
        <w:top w:val="none" w:sz="0" w:space="0" w:color="auto"/>
        <w:left w:val="none" w:sz="0" w:space="0" w:color="auto"/>
        <w:bottom w:val="none" w:sz="0" w:space="0" w:color="auto"/>
        <w:right w:val="none" w:sz="0" w:space="0" w:color="auto"/>
      </w:divBdr>
    </w:div>
    <w:div w:id="1553538704">
      <w:bodyDiv w:val="1"/>
      <w:marLeft w:val="0"/>
      <w:marRight w:val="0"/>
      <w:marTop w:val="0"/>
      <w:marBottom w:val="0"/>
      <w:divBdr>
        <w:top w:val="none" w:sz="0" w:space="0" w:color="auto"/>
        <w:left w:val="none" w:sz="0" w:space="0" w:color="auto"/>
        <w:bottom w:val="none" w:sz="0" w:space="0" w:color="auto"/>
        <w:right w:val="none" w:sz="0" w:space="0" w:color="auto"/>
      </w:divBdr>
    </w:div>
    <w:div w:id="1596598779">
      <w:bodyDiv w:val="1"/>
      <w:marLeft w:val="0"/>
      <w:marRight w:val="0"/>
      <w:marTop w:val="0"/>
      <w:marBottom w:val="0"/>
      <w:divBdr>
        <w:top w:val="none" w:sz="0" w:space="0" w:color="auto"/>
        <w:left w:val="none" w:sz="0" w:space="0" w:color="auto"/>
        <w:bottom w:val="none" w:sz="0" w:space="0" w:color="auto"/>
        <w:right w:val="none" w:sz="0" w:space="0" w:color="auto"/>
      </w:divBdr>
    </w:div>
    <w:div w:id="1609779355">
      <w:bodyDiv w:val="1"/>
      <w:marLeft w:val="0"/>
      <w:marRight w:val="0"/>
      <w:marTop w:val="0"/>
      <w:marBottom w:val="0"/>
      <w:divBdr>
        <w:top w:val="none" w:sz="0" w:space="0" w:color="auto"/>
        <w:left w:val="none" w:sz="0" w:space="0" w:color="auto"/>
        <w:bottom w:val="none" w:sz="0" w:space="0" w:color="auto"/>
        <w:right w:val="none" w:sz="0" w:space="0" w:color="auto"/>
      </w:divBdr>
    </w:div>
    <w:div w:id="1618829457">
      <w:bodyDiv w:val="1"/>
      <w:marLeft w:val="0"/>
      <w:marRight w:val="0"/>
      <w:marTop w:val="0"/>
      <w:marBottom w:val="0"/>
      <w:divBdr>
        <w:top w:val="none" w:sz="0" w:space="0" w:color="auto"/>
        <w:left w:val="none" w:sz="0" w:space="0" w:color="auto"/>
        <w:bottom w:val="none" w:sz="0" w:space="0" w:color="auto"/>
        <w:right w:val="none" w:sz="0" w:space="0" w:color="auto"/>
      </w:divBdr>
    </w:div>
    <w:div w:id="1620260117">
      <w:bodyDiv w:val="1"/>
      <w:marLeft w:val="0"/>
      <w:marRight w:val="0"/>
      <w:marTop w:val="0"/>
      <w:marBottom w:val="0"/>
      <w:divBdr>
        <w:top w:val="none" w:sz="0" w:space="0" w:color="auto"/>
        <w:left w:val="none" w:sz="0" w:space="0" w:color="auto"/>
        <w:bottom w:val="none" w:sz="0" w:space="0" w:color="auto"/>
        <w:right w:val="none" w:sz="0" w:space="0" w:color="auto"/>
      </w:divBdr>
    </w:div>
    <w:div w:id="1629503906">
      <w:bodyDiv w:val="1"/>
      <w:marLeft w:val="0"/>
      <w:marRight w:val="0"/>
      <w:marTop w:val="0"/>
      <w:marBottom w:val="0"/>
      <w:divBdr>
        <w:top w:val="none" w:sz="0" w:space="0" w:color="auto"/>
        <w:left w:val="none" w:sz="0" w:space="0" w:color="auto"/>
        <w:bottom w:val="none" w:sz="0" w:space="0" w:color="auto"/>
        <w:right w:val="none" w:sz="0" w:space="0" w:color="auto"/>
      </w:divBdr>
    </w:div>
    <w:div w:id="1881163306">
      <w:bodyDiv w:val="1"/>
      <w:marLeft w:val="0"/>
      <w:marRight w:val="0"/>
      <w:marTop w:val="0"/>
      <w:marBottom w:val="0"/>
      <w:divBdr>
        <w:top w:val="none" w:sz="0" w:space="0" w:color="auto"/>
        <w:left w:val="none" w:sz="0" w:space="0" w:color="auto"/>
        <w:bottom w:val="none" w:sz="0" w:space="0" w:color="auto"/>
        <w:right w:val="none" w:sz="0" w:space="0" w:color="auto"/>
      </w:divBdr>
    </w:div>
    <w:div w:id="1919898496">
      <w:bodyDiv w:val="1"/>
      <w:marLeft w:val="0"/>
      <w:marRight w:val="0"/>
      <w:marTop w:val="0"/>
      <w:marBottom w:val="0"/>
      <w:divBdr>
        <w:top w:val="none" w:sz="0" w:space="0" w:color="auto"/>
        <w:left w:val="none" w:sz="0" w:space="0" w:color="auto"/>
        <w:bottom w:val="none" w:sz="0" w:space="0" w:color="auto"/>
        <w:right w:val="none" w:sz="0" w:space="0" w:color="auto"/>
      </w:divBdr>
    </w:div>
    <w:div w:id="2006472660">
      <w:bodyDiv w:val="1"/>
      <w:marLeft w:val="0"/>
      <w:marRight w:val="0"/>
      <w:marTop w:val="0"/>
      <w:marBottom w:val="0"/>
      <w:divBdr>
        <w:top w:val="none" w:sz="0" w:space="0" w:color="auto"/>
        <w:left w:val="none" w:sz="0" w:space="0" w:color="auto"/>
        <w:bottom w:val="none" w:sz="0" w:space="0" w:color="auto"/>
        <w:right w:val="none" w:sz="0" w:space="0" w:color="auto"/>
      </w:divBdr>
    </w:div>
    <w:div w:id="2027780085">
      <w:bodyDiv w:val="1"/>
      <w:marLeft w:val="0"/>
      <w:marRight w:val="0"/>
      <w:marTop w:val="0"/>
      <w:marBottom w:val="0"/>
      <w:divBdr>
        <w:top w:val="none" w:sz="0" w:space="0" w:color="auto"/>
        <w:left w:val="none" w:sz="0" w:space="0" w:color="auto"/>
        <w:bottom w:val="none" w:sz="0" w:space="0" w:color="auto"/>
        <w:right w:val="none" w:sz="0" w:space="0" w:color="auto"/>
      </w:divBdr>
    </w:div>
    <w:div w:id="204107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media/image3.sv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image" Target="media/image1.png"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National Defence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simcoe.m</dc:creator>
  <keywords/>
  <dc:description/>
  <lastModifiedBy>Guest User</lastModifiedBy>
  <revision>6</revision>
  <lastPrinted>2023-08-10T19:31:00.0000000Z</lastPrinted>
  <dcterms:created xsi:type="dcterms:W3CDTF">2026-04-23T18:19:00.0000000Z</dcterms:created>
  <dcterms:modified xsi:type="dcterms:W3CDTF">2026-04-29T19:34:51.5718331Z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33c1f9-43dd-4e5b-bd09-632e008e075a_Enabled">
    <vt:lpwstr>true</vt:lpwstr>
  </property>
  <property fmtid="{D5CDD505-2E9C-101B-9397-08002B2CF9AE}" pid="3" name="MSIP_Label_3e33c1f9-43dd-4e5b-bd09-632e008e075a_SetDate">
    <vt:lpwstr>2026-04-22T02:15:57Z</vt:lpwstr>
  </property>
  <property fmtid="{D5CDD505-2E9C-101B-9397-08002B2CF9AE}" pid="4" name="MSIP_Label_3e33c1f9-43dd-4e5b-bd09-632e008e075a_Method">
    <vt:lpwstr>Standard</vt:lpwstr>
  </property>
  <property fmtid="{D5CDD505-2E9C-101B-9397-08002B2CF9AE}" pid="5" name="MSIP_Label_3e33c1f9-43dd-4e5b-bd09-632e008e075a_Name">
    <vt:lpwstr>UNCLASSIFIED INTERNAL</vt:lpwstr>
  </property>
  <property fmtid="{D5CDD505-2E9C-101B-9397-08002B2CF9AE}" pid="6" name="MSIP_Label_3e33c1f9-43dd-4e5b-bd09-632e008e075a_SiteId">
    <vt:lpwstr>325b4494-1587-40d5-bb31-8b660b7f1038</vt:lpwstr>
  </property>
  <property fmtid="{D5CDD505-2E9C-101B-9397-08002B2CF9AE}" pid="7" name="MSIP_Label_3e33c1f9-43dd-4e5b-bd09-632e008e075a_ActionId">
    <vt:lpwstr>23d3a146-df5a-4e04-92f2-0fedd02bf625</vt:lpwstr>
  </property>
  <property fmtid="{D5CDD505-2E9C-101B-9397-08002B2CF9AE}" pid="8" name="MSIP_Label_3e33c1f9-43dd-4e5b-bd09-632e008e075a_ContentBits">
    <vt:lpwstr>0</vt:lpwstr>
  </property>
  <property fmtid="{D5CDD505-2E9C-101B-9397-08002B2CF9AE}" pid="9" name="MSIP_Label_3e33c1f9-43dd-4e5b-bd09-632e008e075a_Tag">
    <vt:lpwstr>10, 3, 0, 1</vt:lpwstr>
  </property>
</Properties>
</file>