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82B1A" w14:textId="77777777" w:rsidR="009A7C2F" w:rsidRPr="009A7C2F" w:rsidRDefault="009A7C2F" w:rsidP="00EE2F32">
      <w:pPr>
        <w:spacing w:before="100" w:beforeAutospacing="1" w:after="100" w:afterAutospacing="1" w:line="240" w:lineRule="auto"/>
        <w:jc w:val="center"/>
        <w:rPr>
          <w:rFonts w:ascii="Times New Roman" w:eastAsia="Times New Roman" w:hAnsi="Times New Roman" w:cs="Times New Roman"/>
          <w:kern w:val="0"/>
          <w:sz w:val="24"/>
          <w:szCs w:val="24"/>
          <w:lang w:eastAsia="en-CA"/>
          <w14:ligatures w14:val="none"/>
        </w:rPr>
      </w:pPr>
      <w:r w:rsidRPr="009A7C2F">
        <w:rPr>
          <w:rFonts w:ascii="Times New Roman" w:eastAsia="Times New Roman" w:hAnsi="Times New Roman" w:cs="Times New Roman"/>
          <w:b/>
          <w:bCs/>
          <w:kern w:val="0"/>
          <w:sz w:val="40"/>
          <w:szCs w:val="40"/>
          <w:lang w:eastAsia="en-CA"/>
          <w14:ligatures w14:val="none"/>
        </w:rPr>
        <w:t>CMP / MILPERSCOM Overview</w:t>
      </w:r>
      <w:r w:rsidRPr="009A7C2F">
        <w:rPr>
          <w:rFonts w:ascii="Times New Roman" w:eastAsia="Times New Roman" w:hAnsi="Times New Roman" w:cs="Times New Roman"/>
          <w:kern w:val="0"/>
          <w:sz w:val="24"/>
          <w:szCs w:val="24"/>
          <w:lang w:eastAsia="en-CA"/>
          <w14:ligatures w14:val="none"/>
        </w:rPr>
        <w:br/>
      </w:r>
      <w:r w:rsidRPr="009A7C2F">
        <w:rPr>
          <w:rFonts w:ascii="Times New Roman" w:eastAsia="Times New Roman" w:hAnsi="Times New Roman" w:cs="Times New Roman"/>
          <w:i/>
          <w:iCs/>
          <w:kern w:val="0"/>
          <w:sz w:val="24"/>
          <w:szCs w:val="24"/>
          <w:lang w:eastAsia="en-CA"/>
          <w14:ligatures w14:val="none"/>
        </w:rPr>
        <w:t>(Chief of Military Personnel / Military Personnel Command)</w:t>
      </w:r>
    </w:p>
    <w:p w14:paraId="0F958428" w14:textId="77777777" w:rsidR="009A7C2F" w:rsidRPr="009A7C2F" w:rsidRDefault="0005659A" w:rsidP="009A7C2F">
      <w:pPr>
        <w:spacing w:after="0" w:line="240" w:lineRule="auto"/>
        <w:rPr>
          <w:rFonts w:ascii="Times New Roman" w:eastAsia="Times New Roman" w:hAnsi="Times New Roman" w:cs="Times New Roman"/>
          <w:kern w:val="0"/>
          <w:sz w:val="24"/>
          <w:szCs w:val="24"/>
          <w:lang w:eastAsia="en-CA"/>
          <w14:ligatures w14:val="none"/>
        </w:rPr>
        <w:sectPr w:rsidR="009A7C2F" w:rsidRPr="009A7C2F">
          <w:pgSz w:w="12240" w:h="15840"/>
          <w:pgMar w:top="1440" w:right="1440" w:bottom="1440" w:left="1440" w:header="708" w:footer="708" w:gutter="0"/>
          <w:cols w:space="708"/>
          <w:docGrid w:linePitch="360"/>
        </w:sectPr>
      </w:pPr>
      <w:r>
        <w:rPr>
          <w:rFonts w:ascii="Times New Roman" w:eastAsia="Times New Roman" w:hAnsi="Times New Roman" w:cs="Times New Roman"/>
          <w:kern w:val="0"/>
          <w:sz w:val="24"/>
          <w:szCs w:val="24"/>
          <w:lang w:eastAsia="en-CA"/>
          <w14:ligatures w14:val="none"/>
        </w:rPr>
        <w:pict w14:anchorId="21B7BC98">
          <v:rect id="_x0000_i1025" style="width:0;height:1.5pt" o:hralign="center" o:hrstd="t" o:hr="t" fillcolor="#a0a0a0" stroked="f"/>
        </w:pict>
      </w:r>
    </w:p>
    <w:p w14:paraId="4A6FD4CB" w14:textId="4DB8A13E" w:rsidR="00AB0606" w:rsidRDefault="00AB0606" w:rsidP="00AB0606">
      <w:pPr>
        <w:pStyle w:val="NormalWeb"/>
      </w:pPr>
      <w:r>
        <w:rPr>
          <w:rStyle w:val="Strong"/>
          <w:rFonts w:eastAsiaTheme="majorEastAsia"/>
        </w:rPr>
        <w:t>ASST CMP</w:t>
      </w:r>
      <w:r>
        <w:t xml:space="preserve"> – Assistant CMP (Asst CMP)</w:t>
      </w:r>
      <w:r>
        <w:br/>
      </w:r>
      <w:r>
        <w:rPr>
          <w:rStyle w:val="Strong"/>
          <w:rFonts w:eastAsiaTheme="majorEastAsia"/>
        </w:rPr>
        <w:t>CDA</w:t>
      </w:r>
      <w:r>
        <w:t xml:space="preserve"> – Canadian Defence Academy</w:t>
      </w:r>
      <w:r>
        <w:br/>
      </w:r>
      <w:r>
        <w:rPr>
          <w:rStyle w:val="Strong"/>
          <w:rFonts w:eastAsiaTheme="majorEastAsia"/>
        </w:rPr>
        <w:t>CFRG</w:t>
      </w:r>
      <w:r>
        <w:t xml:space="preserve"> – Canadian Forces Recruiting Group</w:t>
      </w:r>
      <w:r>
        <w:br/>
      </w:r>
      <w:r>
        <w:rPr>
          <w:rStyle w:val="Strong"/>
          <w:rFonts w:eastAsiaTheme="majorEastAsia"/>
        </w:rPr>
        <w:t>CHAP GEN</w:t>
      </w:r>
      <w:r>
        <w:t xml:space="preserve"> – Chaplain General – CAF Chaplaincy Branch</w:t>
      </w:r>
      <w:r>
        <w:br/>
      </w:r>
      <w:r>
        <w:rPr>
          <w:rStyle w:val="Strong"/>
          <w:rFonts w:eastAsiaTheme="majorEastAsia"/>
        </w:rPr>
        <w:t>CMP</w:t>
      </w:r>
      <w:r>
        <w:t xml:space="preserve"> – Chief of Military Personnel</w:t>
      </w:r>
      <w:r>
        <w:br/>
      </w:r>
      <w:r>
        <w:rPr>
          <w:rStyle w:val="Strong"/>
          <w:rFonts w:eastAsiaTheme="majorEastAsia"/>
        </w:rPr>
        <w:t>COS CMP</w:t>
      </w:r>
      <w:r>
        <w:t xml:space="preserve"> – Chief of Staff (COS CMP)</w:t>
      </w:r>
      <w:r>
        <w:br/>
      </w:r>
      <w:r>
        <w:rPr>
          <w:rStyle w:val="Strong"/>
          <w:rFonts w:eastAsiaTheme="majorEastAsia"/>
        </w:rPr>
        <w:t>DGADR</w:t>
      </w:r>
      <w:r>
        <w:t xml:space="preserve"> – Director General Alternate Dispute Resolution</w:t>
      </w:r>
      <w:r>
        <w:br/>
      </w:r>
      <w:r>
        <w:rPr>
          <w:rStyle w:val="Strong"/>
          <w:rFonts w:eastAsiaTheme="majorEastAsia"/>
        </w:rPr>
        <w:t>DCSM</w:t>
      </w:r>
      <w:r>
        <w:t xml:space="preserve"> – Director Casualty Support Management</w:t>
      </w:r>
      <w:r>
        <w:br/>
      </w:r>
      <w:r>
        <w:rPr>
          <w:rStyle w:val="Strong"/>
          <w:rFonts w:eastAsiaTheme="majorEastAsia"/>
        </w:rPr>
        <w:t>DGCB</w:t>
      </w:r>
      <w:r>
        <w:t xml:space="preserve"> – DG Compensation &amp; Benefits</w:t>
      </w:r>
      <w:r>
        <w:br/>
      </w:r>
      <w:r>
        <w:rPr>
          <w:rStyle w:val="Strong"/>
          <w:rFonts w:eastAsiaTheme="majorEastAsia"/>
        </w:rPr>
        <w:t>DGMC</w:t>
      </w:r>
      <w:r>
        <w:t xml:space="preserve"> – DG Military Careers</w:t>
      </w:r>
      <w:r>
        <w:br/>
      </w:r>
      <w:r>
        <w:rPr>
          <w:rStyle w:val="Strong"/>
          <w:rFonts w:eastAsiaTheme="majorEastAsia"/>
        </w:rPr>
        <w:t>DGMP</w:t>
      </w:r>
      <w:r>
        <w:t xml:space="preserve"> – DG Military Personnel</w:t>
      </w:r>
      <w:r>
        <w:br/>
      </w:r>
      <w:r>
        <w:rPr>
          <w:rStyle w:val="Strong"/>
          <w:rFonts w:eastAsiaTheme="majorEastAsia"/>
        </w:rPr>
        <w:t>DGMPRA</w:t>
      </w:r>
      <w:r>
        <w:t xml:space="preserve"> – DG Military Personnel Research &amp; Analysis</w:t>
      </w:r>
      <w:r>
        <w:br/>
      </w:r>
      <w:r>
        <w:rPr>
          <w:rStyle w:val="Strong"/>
          <w:rFonts w:eastAsiaTheme="majorEastAsia"/>
        </w:rPr>
        <w:t>DGMWS</w:t>
      </w:r>
      <w:r>
        <w:t xml:space="preserve"> – DG Morale &amp; Welfare Services</w:t>
      </w:r>
      <w:r>
        <w:br/>
      </w:r>
      <w:r>
        <w:rPr>
          <w:rStyle w:val="Strong"/>
          <w:rFonts w:eastAsiaTheme="majorEastAsia"/>
        </w:rPr>
        <w:t>DH&amp;R</w:t>
      </w:r>
      <w:r>
        <w:t xml:space="preserve"> – Director Honours &amp; Recognition</w:t>
      </w:r>
      <w:r>
        <w:br/>
      </w:r>
      <w:r>
        <w:rPr>
          <w:rStyle w:val="Strong"/>
          <w:rFonts w:eastAsiaTheme="majorEastAsia"/>
        </w:rPr>
        <w:t>DHH</w:t>
      </w:r>
      <w:r>
        <w:t xml:space="preserve"> – Directorate of History &amp; Heritage</w:t>
      </w:r>
      <w:r>
        <w:br/>
      </w:r>
      <w:r>
        <w:rPr>
          <w:rStyle w:val="Strong"/>
          <w:rFonts w:eastAsiaTheme="majorEastAsia"/>
        </w:rPr>
        <w:t>IPSCs</w:t>
      </w:r>
      <w:r>
        <w:t xml:space="preserve"> – Integrated Personnel Support Centres</w:t>
      </w:r>
      <w:r>
        <w:br/>
      </w:r>
      <w:r>
        <w:rPr>
          <w:rStyle w:val="Strong"/>
          <w:rFonts w:eastAsiaTheme="majorEastAsia"/>
        </w:rPr>
        <w:t>JPSU</w:t>
      </w:r>
      <w:r>
        <w:t xml:space="preserve"> – Joint Personnel Support Units</w:t>
      </w:r>
      <w:r>
        <w:br/>
      </w:r>
      <w:r>
        <w:rPr>
          <w:rStyle w:val="Strong"/>
          <w:rFonts w:eastAsiaTheme="majorEastAsia"/>
        </w:rPr>
        <w:t>TAP</w:t>
      </w:r>
      <w:r>
        <w:t xml:space="preserve"> – Transition Assistance Program</w:t>
      </w:r>
    </w:p>
    <w:p w14:paraId="3F433A60" w14:textId="77777777" w:rsidR="00AB0606" w:rsidRDefault="00AB0606" w:rsidP="00AB0606">
      <w:pPr>
        <w:pStyle w:val="NormalWeb"/>
      </w:pPr>
      <w:r>
        <w:t>Military personnel generation/training pipelines</w:t>
      </w:r>
      <w:r>
        <w:br/>
        <w:t>Military transition/release programs</w:t>
      </w:r>
    </w:p>
    <w:p w14:paraId="3F0E9320" w14:textId="77777777" w:rsidR="00AB0606" w:rsidRDefault="00AB0606" w:rsidP="009A7C2F">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sectPr w:rsidR="00AB0606" w:rsidSect="00AB0606">
          <w:type w:val="continuous"/>
          <w:pgSz w:w="12240" w:h="15840"/>
          <w:pgMar w:top="1440" w:right="1440" w:bottom="1440" w:left="1440" w:header="708" w:footer="708" w:gutter="0"/>
          <w:cols w:num="2" w:space="708"/>
          <w:docGrid w:linePitch="360"/>
        </w:sectPr>
      </w:pPr>
    </w:p>
    <w:p w14:paraId="19B9FFC2" w14:textId="77777777" w:rsidR="00EE2F32" w:rsidRDefault="00EE2F32" w:rsidP="009A7C2F">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p>
    <w:p w14:paraId="5779F6D9" w14:textId="3B6E8390" w:rsidR="009A7C2F" w:rsidRPr="009A7C2F" w:rsidRDefault="009A7C2F" w:rsidP="009A7C2F">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9A7C2F">
        <w:rPr>
          <w:rFonts w:ascii="Times New Roman" w:eastAsia="Times New Roman" w:hAnsi="Times New Roman" w:cs="Times New Roman"/>
          <w:b/>
          <w:bCs/>
          <w:kern w:val="0"/>
          <w:sz w:val="24"/>
          <w:szCs w:val="24"/>
          <w:lang w:eastAsia="en-CA"/>
          <w14:ligatures w14:val="none"/>
        </w:rPr>
        <w:t>Health Services</w:t>
      </w:r>
      <w:r w:rsidRPr="009A7C2F">
        <w:rPr>
          <w:rFonts w:ascii="Times New Roman" w:eastAsia="Times New Roman" w:hAnsi="Times New Roman" w:cs="Times New Roman"/>
          <w:kern w:val="0"/>
          <w:sz w:val="24"/>
          <w:szCs w:val="24"/>
          <w:lang w:eastAsia="en-CA"/>
          <w14:ligatures w14:val="none"/>
        </w:rPr>
        <w:t xml:space="preserve"> </w:t>
      </w:r>
      <w:r w:rsidRPr="009A7C2F">
        <w:rPr>
          <w:rFonts w:ascii="Times New Roman" w:eastAsia="Times New Roman" w:hAnsi="Times New Roman" w:cs="Times New Roman"/>
          <w:i/>
          <w:iCs/>
          <w:kern w:val="0"/>
          <w:sz w:val="24"/>
          <w:szCs w:val="24"/>
          <w:lang w:eastAsia="en-CA"/>
          <w14:ligatures w14:val="none"/>
        </w:rPr>
        <w:t>(transitioning to CJFC)</w:t>
      </w:r>
    </w:p>
    <w:p w14:paraId="7CFFBB05" w14:textId="77777777" w:rsidR="009A7C2F" w:rsidRPr="009A7C2F" w:rsidRDefault="009A7C2F" w:rsidP="009A7C2F">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9A7C2F">
        <w:rPr>
          <w:rFonts w:ascii="Times New Roman" w:eastAsia="Times New Roman" w:hAnsi="Times New Roman" w:cs="Times New Roman"/>
          <w:kern w:val="0"/>
          <w:sz w:val="24"/>
          <w:szCs w:val="24"/>
          <w:lang w:eastAsia="en-CA"/>
          <w14:ligatures w14:val="none"/>
        </w:rPr>
        <w:t xml:space="preserve">Canadian Forces Health Services Group (CF H Svcs Gp) </w:t>
      </w:r>
    </w:p>
    <w:p w14:paraId="79B6A700" w14:textId="77777777" w:rsidR="009A7C2F" w:rsidRPr="009A7C2F" w:rsidRDefault="009A7C2F" w:rsidP="50D629E8">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9A7C2F">
        <w:rPr>
          <w:rFonts w:ascii="Times New Roman" w:eastAsia="Times New Roman" w:hAnsi="Times New Roman" w:cs="Times New Roman"/>
          <w:kern w:val="0"/>
          <w:sz w:val="24"/>
          <w:szCs w:val="24"/>
          <w:lang w:eastAsia="en-CA"/>
          <w14:ligatures w14:val="none"/>
        </w:rPr>
        <w:t xml:space="preserve">Operational Trauma &amp; Stress Support Centres (OTSSC) </w:t>
      </w:r>
    </w:p>
    <w:p w14:paraId="3FCBBE4E" w14:textId="52B398CD" w:rsidR="473EF605" w:rsidRDefault="473EF605" w:rsidP="50D629E8">
      <w:pPr>
        <w:spacing w:beforeAutospacing="1" w:afterAutospacing="1" w:line="300" w:lineRule="atLeast"/>
        <w:rPr>
          <w:rFonts w:ascii="Segoe UI" w:eastAsia="Times New Roman" w:hAnsi="Segoe UI" w:cs="Segoe UI"/>
          <w:sz w:val="21"/>
          <w:szCs w:val="21"/>
          <w:lang w:eastAsia="en-CA"/>
        </w:rPr>
      </w:pPr>
      <w:r>
        <w:br/>
      </w:r>
      <w:r w:rsidRPr="50D629E8">
        <w:rPr>
          <w:rFonts w:ascii="Segoe UI" w:eastAsia="Segoe UI" w:hAnsi="Segoe UI" w:cs="Segoe UI"/>
          <w:sz w:val="21"/>
          <w:szCs w:val="21"/>
        </w:rPr>
        <w:t xml:space="preserve"> A coffee chat was scheduled for late December 2025 due to the absence of formal meetings. LGen Simoneau,</w:t>
      </w:r>
      <w:r w:rsidR="4F8F881E" w:rsidRPr="50D629E8">
        <w:rPr>
          <w:rFonts w:ascii="Segoe UI" w:eastAsia="Segoe UI" w:hAnsi="Segoe UI" w:cs="Segoe UI"/>
          <w:sz w:val="21"/>
          <w:szCs w:val="21"/>
        </w:rPr>
        <w:t xml:space="preserve"> RVP (NCR), </w:t>
      </w:r>
      <w:r w:rsidRPr="50D629E8">
        <w:rPr>
          <w:rFonts w:ascii="Segoe UI" w:eastAsia="Segoe UI" w:hAnsi="Segoe UI" w:cs="Segoe UI"/>
          <w:sz w:val="21"/>
          <w:szCs w:val="21"/>
        </w:rPr>
        <w:t>RVP (ON), attended to facilitate an informal discussion regarding ongoing issues and emerging concerns. As LGen Simoneau has only recently assumed this role, the discussion was intended to provide context as he establishes his footing and determines a way forward.</w:t>
      </w:r>
    </w:p>
    <w:p w14:paraId="652A2D4B" w14:textId="163530D8" w:rsidR="50D629E8" w:rsidRDefault="50D629E8" w:rsidP="50D629E8">
      <w:pPr>
        <w:spacing w:before="240" w:after="240"/>
        <w:rPr>
          <w:rFonts w:ascii="Segoe UI" w:eastAsia="Segoe UI" w:hAnsi="Segoe UI" w:cs="Segoe UI"/>
          <w:sz w:val="21"/>
          <w:szCs w:val="21"/>
        </w:rPr>
      </w:pPr>
    </w:p>
    <w:p w14:paraId="7D768189" w14:textId="67FBE945" w:rsidR="473EF605" w:rsidRDefault="473EF605" w:rsidP="50D629E8">
      <w:pPr>
        <w:pStyle w:val="ListParagraph"/>
        <w:numPr>
          <w:ilvl w:val="0"/>
          <w:numId w:val="8"/>
        </w:numPr>
        <w:spacing w:after="0"/>
        <w:rPr>
          <w:rFonts w:ascii="Segoe UI" w:eastAsia="Segoe UI" w:hAnsi="Segoe UI" w:cs="Segoe UI"/>
          <w:sz w:val="21"/>
          <w:szCs w:val="21"/>
        </w:rPr>
      </w:pPr>
      <w:r w:rsidRPr="50D629E8">
        <w:rPr>
          <w:rFonts w:ascii="Segoe UI" w:eastAsia="Segoe UI" w:hAnsi="Segoe UI" w:cs="Segoe UI"/>
          <w:sz w:val="21"/>
          <w:szCs w:val="21"/>
        </w:rPr>
        <w:t>CMP Travel Policy Directive</w:t>
      </w:r>
      <w:r>
        <w:br/>
      </w:r>
      <w:r w:rsidRPr="50D629E8">
        <w:rPr>
          <w:rFonts w:ascii="Segoe UI" w:eastAsia="Segoe UI" w:hAnsi="Segoe UI" w:cs="Segoe UI"/>
          <w:sz w:val="21"/>
          <w:szCs w:val="21"/>
        </w:rPr>
        <w:t xml:space="preserve">Issues were raised regarding directives from CMP related to travel policy. Dr. Sylvain Leblanc indicated that business class entitlement is authorized with continuous travel over 9 hours. However, the wording of the CMP directive lacks clarity and contains grey areas that may allow management to deny business class travel for flights exceeding nine hours. </w:t>
      </w:r>
    </w:p>
    <w:p w14:paraId="34D04E4D" w14:textId="004332B1" w:rsidR="473EF605" w:rsidRDefault="473EF605" w:rsidP="50D629E8">
      <w:pPr>
        <w:pStyle w:val="ListParagraph"/>
        <w:numPr>
          <w:ilvl w:val="0"/>
          <w:numId w:val="8"/>
        </w:numPr>
        <w:spacing w:before="240" w:after="240"/>
        <w:rPr>
          <w:rFonts w:ascii="Segoe UI" w:eastAsia="Segoe UI" w:hAnsi="Segoe UI" w:cs="Segoe UI"/>
          <w:sz w:val="21"/>
          <w:szCs w:val="21"/>
        </w:rPr>
      </w:pPr>
      <w:r w:rsidRPr="50D629E8">
        <w:rPr>
          <w:rFonts w:ascii="Segoe UI" w:eastAsia="Segoe UI" w:hAnsi="Segoe UI" w:cs="Segoe UI"/>
          <w:sz w:val="21"/>
          <w:szCs w:val="21"/>
        </w:rPr>
        <w:t>LGen Simoneau acknowledged this concern and agreed that the policy wording requires further review. He committed to revisiting the policy language to address ambiguity and ensure alignment with the NJC travel policy.</w:t>
      </w:r>
    </w:p>
    <w:p w14:paraId="24926EBB" w14:textId="2B3BD912" w:rsidR="50D629E8" w:rsidRDefault="50D629E8" w:rsidP="50D629E8">
      <w:pPr>
        <w:pStyle w:val="ListParagraph"/>
        <w:spacing w:before="240" w:after="240"/>
        <w:rPr>
          <w:rFonts w:ascii="Segoe UI" w:eastAsia="Segoe UI" w:hAnsi="Segoe UI" w:cs="Segoe UI"/>
          <w:sz w:val="21"/>
          <w:szCs w:val="21"/>
        </w:rPr>
      </w:pPr>
    </w:p>
    <w:p w14:paraId="1E3406F2" w14:textId="5A2F76AC" w:rsidR="473EF605" w:rsidRDefault="473EF605" w:rsidP="50D629E8">
      <w:pPr>
        <w:pStyle w:val="ListParagraph"/>
        <w:numPr>
          <w:ilvl w:val="0"/>
          <w:numId w:val="8"/>
        </w:numPr>
        <w:spacing w:after="0"/>
        <w:rPr>
          <w:rFonts w:ascii="Segoe UI" w:eastAsia="Segoe UI" w:hAnsi="Segoe UI" w:cs="Segoe UI"/>
          <w:sz w:val="21"/>
          <w:szCs w:val="21"/>
        </w:rPr>
      </w:pPr>
      <w:r w:rsidRPr="50D629E8">
        <w:rPr>
          <w:rFonts w:ascii="Segoe UI" w:eastAsia="Segoe UI" w:hAnsi="Segoe UI" w:cs="Segoe UI"/>
          <w:sz w:val="21"/>
          <w:szCs w:val="21"/>
        </w:rPr>
        <w:lastRenderedPageBreak/>
        <w:t>HRCIV Civilian Review Panels</w:t>
      </w:r>
      <w:r>
        <w:br/>
      </w:r>
      <w:r w:rsidRPr="50D629E8">
        <w:rPr>
          <w:rFonts w:ascii="Segoe UI" w:eastAsia="Segoe UI" w:hAnsi="Segoe UI" w:cs="Segoe UI"/>
          <w:sz w:val="21"/>
          <w:szCs w:val="21"/>
        </w:rPr>
        <w:t xml:space="preserve"> Members expressed significant concerns regarding the HRCIV Civilian Review Panels and fairness protections. While the intent is to ensure consistent and evidence-based decision-making, concerns were raised regarding inclusion of members’ names and scoring, potential for subjective outcomes, and the risk that senior management could amend or rescore evaluations. </w:t>
      </w:r>
    </w:p>
    <w:p w14:paraId="7F42B4BF" w14:textId="615CA613" w:rsidR="50D629E8" w:rsidRDefault="50D629E8" w:rsidP="50D629E8">
      <w:pPr>
        <w:pStyle w:val="ListParagraph"/>
        <w:spacing w:before="240" w:after="240"/>
        <w:rPr>
          <w:rFonts w:ascii="Segoe UI" w:eastAsia="Segoe UI" w:hAnsi="Segoe UI" w:cs="Segoe UI"/>
          <w:sz w:val="21"/>
          <w:szCs w:val="21"/>
        </w:rPr>
      </w:pPr>
    </w:p>
    <w:p w14:paraId="3D060137" w14:textId="720E6582" w:rsidR="473EF605" w:rsidRDefault="473EF605" w:rsidP="50D629E8">
      <w:pPr>
        <w:pStyle w:val="ListParagraph"/>
        <w:numPr>
          <w:ilvl w:val="0"/>
          <w:numId w:val="8"/>
        </w:numPr>
        <w:spacing w:before="240" w:after="240"/>
        <w:rPr>
          <w:rFonts w:ascii="Segoe UI" w:eastAsia="Segoe UI" w:hAnsi="Segoe UI" w:cs="Segoe UI"/>
          <w:sz w:val="21"/>
          <w:szCs w:val="21"/>
        </w:rPr>
      </w:pPr>
      <w:r w:rsidRPr="50D629E8">
        <w:rPr>
          <w:rFonts w:ascii="Segoe UI" w:eastAsia="Segoe UI" w:hAnsi="Segoe UI" w:cs="Segoe UI"/>
          <w:sz w:val="21"/>
          <w:szCs w:val="21"/>
        </w:rPr>
        <w:t>Although intended to ensure consistency across managers and work units, PSPMs are designed to be a direct assessment between the immediate supervisor and the employee. The introduction of review panels with authority to amend or rescore original assessments therefore remains a concern.</w:t>
      </w:r>
    </w:p>
    <w:p w14:paraId="148BAD86" w14:textId="06366197" w:rsidR="50D629E8" w:rsidRDefault="50D629E8" w:rsidP="50D629E8">
      <w:pPr>
        <w:pStyle w:val="ListParagraph"/>
        <w:spacing w:before="240" w:after="240"/>
        <w:rPr>
          <w:rFonts w:ascii="Segoe UI" w:eastAsia="Segoe UI" w:hAnsi="Segoe UI" w:cs="Segoe UI"/>
          <w:sz w:val="21"/>
          <w:szCs w:val="21"/>
        </w:rPr>
      </w:pPr>
    </w:p>
    <w:p w14:paraId="7920C382" w14:textId="0D0122CE" w:rsidR="473EF605" w:rsidRDefault="473EF605" w:rsidP="50D629E8">
      <w:pPr>
        <w:pStyle w:val="ListParagraph"/>
        <w:numPr>
          <w:ilvl w:val="0"/>
          <w:numId w:val="8"/>
        </w:numPr>
        <w:spacing w:after="0"/>
        <w:rPr>
          <w:rFonts w:ascii="Segoe UI" w:eastAsia="Segoe UI" w:hAnsi="Segoe UI" w:cs="Segoe UI"/>
          <w:sz w:val="21"/>
          <w:szCs w:val="21"/>
        </w:rPr>
      </w:pPr>
      <w:r w:rsidRPr="50D629E8">
        <w:rPr>
          <w:rFonts w:ascii="Segoe UI" w:eastAsia="Segoe UI" w:hAnsi="Segoe UI" w:cs="Segoe UI"/>
          <w:sz w:val="21"/>
          <w:szCs w:val="21"/>
        </w:rPr>
        <w:t>UNDE Realignment and Union Engagement</w:t>
      </w:r>
      <w:r>
        <w:br/>
      </w:r>
      <w:r w:rsidRPr="50D629E8">
        <w:rPr>
          <w:rFonts w:ascii="Segoe UI" w:eastAsia="Segoe UI" w:hAnsi="Segoe UI" w:cs="Segoe UI"/>
          <w:sz w:val="21"/>
          <w:szCs w:val="21"/>
        </w:rPr>
        <w:t xml:space="preserve"> An overview was provided on UNDE’s realignment within the National Capital Region (NCR), and Emily Samojlenko, Local President of 70671, was formally introduced. She has demonstrated strong engagement with management and has built constructive working relationships. </w:t>
      </w:r>
    </w:p>
    <w:p w14:paraId="33C1D1A7" w14:textId="06FD63E3" w:rsidR="50D629E8" w:rsidRDefault="50D629E8" w:rsidP="50D629E8">
      <w:pPr>
        <w:pStyle w:val="ListParagraph"/>
        <w:spacing w:after="0"/>
        <w:rPr>
          <w:rFonts w:ascii="Segoe UI" w:eastAsia="Segoe UI" w:hAnsi="Segoe UI" w:cs="Segoe UI"/>
          <w:sz w:val="21"/>
          <w:szCs w:val="21"/>
        </w:rPr>
      </w:pPr>
    </w:p>
    <w:p w14:paraId="7A5106E8" w14:textId="0DB708BC" w:rsidR="473EF605" w:rsidRDefault="473EF605" w:rsidP="50D629E8">
      <w:pPr>
        <w:pStyle w:val="ListParagraph"/>
        <w:numPr>
          <w:ilvl w:val="0"/>
          <w:numId w:val="8"/>
        </w:numPr>
        <w:spacing w:before="240" w:after="240"/>
        <w:rPr>
          <w:rFonts w:ascii="Segoe UI" w:eastAsia="Segoe UI" w:hAnsi="Segoe UI" w:cs="Segoe UI"/>
          <w:sz w:val="21"/>
          <w:szCs w:val="21"/>
        </w:rPr>
      </w:pPr>
      <w:r w:rsidRPr="50D629E8">
        <w:rPr>
          <w:rFonts w:ascii="Segoe UI" w:eastAsia="Segoe UI" w:hAnsi="Segoe UI" w:cs="Segoe UI"/>
          <w:sz w:val="21"/>
          <w:szCs w:val="21"/>
        </w:rPr>
        <w:t>LGen Simoneau invited her to meet to discuss including union contact information (phone and email) in his weekly newsletter. It was clarified that Emily represents CMP members within the NCR only.</w:t>
      </w:r>
    </w:p>
    <w:p w14:paraId="4306EEB3" w14:textId="710C9A26" w:rsidR="50D629E8" w:rsidRDefault="50D629E8" w:rsidP="50D629E8">
      <w:pPr>
        <w:pStyle w:val="ListParagraph"/>
        <w:spacing w:before="240" w:after="240"/>
        <w:rPr>
          <w:rFonts w:ascii="Segoe UI" w:eastAsia="Segoe UI" w:hAnsi="Segoe UI" w:cs="Segoe UI"/>
          <w:sz w:val="21"/>
          <w:szCs w:val="21"/>
        </w:rPr>
      </w:pPr>
    </w:p>
    <w:p w14:paraId="59E5FF09" w14:textId="666EDBF3" w:rsidR="473EF605" w:rsidRDefault="473EF605" w:rsidP="50D629E8">
      <w:pPr>
        <w:pStyle w:val="ListParagraph"/>
        <w:numPr>
          <w:ilvl w:val="0"/>
          <w:numId w:val="8"/>
        </w:numPr>
        <w:spacing w:before="240" w:after="240"/>
        <w:rPr>
          <w:rFonts w:ascii="Segoe UI" w:eastAsia="Segoe UI" w:hAnsi="Segoe UI" w:cs="Segoe UI"/>
          <w:sz w:val="21"/>
          <w:szCs w:val="21"/>
        </w:rPr>
      </w:pPr>
      <w:r w:rsidRPr="50D629E8">
        <w:rPr>
          <w:rFonts w:ascii="Segoe UI" w:eastAsia="Segoe UI" w:hAnsi="Segoe UI" w:cs="Segoe UI"/>
          <w:sz w:val="21"/>
          <w:szCs w:val="21"/>
        </w:rPr>
        <w:t>It was also noted that in December, during discussions regarding in-office day requirements over the holiday period, Emily raised operational concerns directly with LGen Simoneau. Following this, LGen Simoneau issued direction encouraging maximum flexibility with telework during the holiday period and confirmed that no in-office days would be required to be made up.</w:t>
      </w:r>
    </w:p>
    <w:p w14:paraId="353648D9" w14:textId="3EF7DF56" w:rsidR="50D629E8" w:rsidRDefault="50D629E8" w:rsidP="50D629E8">
      <w:pPr>
        <w:pStyle w:val="ListParagraph"/>
        <w:spacing w:before="240" w:after="240"/>
        <w:rPr>
          <w:rFonts w:ascii="Segoe UI" w:eastAsia="Segoe UI" w:hAnsi="Segoe UI" w:cs="Segoe UI"/>
          <w:sz w:val="21"/>
          <w:szCs w:val="21"/>
        </w:rPr>
      </w:pPr>
    </w:p>
    <w:p w14:paraId="3505172E" w14:textId="4AC06A1C" w:rsidR="473EF605" w:rsidRDefault="473EF605" w:rsidP="50D629E8">
      <w:pPr>
        <w:pStyle w:val="ListParagraph"/>
        <w:numPr>
          <w:ilvl w:val="0"/>
          <w:numId w:val="8"/>
        </w:numPr>
        <w:spacing w:after="0"/>
        <w:rPr>
          <w:rFonts w:ascii="Segoe UI" w:eastAsia="Segoe UI" w:hAnsi="Segoe UI" w:cs="Segoe UI"/>
          <w:sz w:val="21"/>
          <w:szCs w:val="21"/>
        </w:rPr>
      </w:pPr>
      <w:r w:rsidRPr="50D629E8">
        <w:rPr>
          <w:rFonts w:ascii="Segoe UI" w:eastAsia="Segoe UI" w:hAnsi="Segoe UI" w:cs="Segoe UI"/>
          <w:sz w:val="21"/>
          <w:szCs w:val="21"/>
        </w:rPr>
        <w:t>Staffing Practices – CMCRB and Non-Advertised Processes</w:t>
      </w:r>
      <w:r w:rsidR="47B143E5" w:rsidRPr="50D629E8">
        <w:rPr>
          <w:rFonts w:ascii="Segoe UI" w:eastAsia="Segoe UI" w:hAnsi="Segoe UI" w:cs="Segoe UI"/>
          <w:sz w:val="21"/>
          <w:szCs w:val="21"/>
        </w:rPr>
        <w:t xml:space="preserve">, </w:t>
      </w:r>
      <w:r w:rsidRPr="50D629E8">
        <w:rPr>
          <w:rFonts w:ascii="Segoe UI" w:eastAsia="Segoe UI" w:hAnsi="Segoe UI" w:cs="Segoe UI"/>
          <w:sz w:val="21"/>
          <w:szCs w:val="21"/>
        </w:rPr>
        <w:t xml:space="preserve">UNDE continues to stress its opposition to Canadian Military Colleges Review Board (CMCRB) Recommendation #46, which calls for the establishment of a Facilities Management Contract for the Royal Military College of Canada (RMC) in Kingston. This would result in the loss of over 100 indeterminate Public Service positions. </w:t>
      </w:r>
    </w:p>
    <w:p w14:paraId="2DCC8F72" w14:textId="15021C65" w:rsidR="50D629E8" w:rsidRDefault="50D629E8" w:rsidP="50D629E8">
      <w:pPr>
        <w:pStyle w:val="ListParagraph"/>
        <w:spacing w:after="0"/>
        <w:rPr>
          <w:rFonts w:ascii="Segoe UI" w:eastAsia="Segoe UI" w:hAnsi="Segoe UI" w:cs="Segoe UI"/>
          <w:sz w:val="21"/>
          <w:szCs w:val="21"/>
        </w:rPr>
      </w:pPr>
    </w:p>
    <w:p w14:paraId="079AFCCB" w14:textId="164FCDD8" w:rsidR="473EF605" w:rsidRDefault="473EF605" w:rsidP="50D629E8">
      <w:pPr>
        <w:pStyle w:val="ListParagraph"/>
        <w:numPr>
          <w:ilvl w:val="0"/>
          <w:numId w:val="8"/>
        </w:numPr>
        <w:spacing w:before="240" w:after="240"/>
        <w:rPr>
          <w:rFonts w:ascii="Segoe UI" w:eastAsia="Segoe UI" w:hAnsi="Segoe UI" w:cs="Segoe UI"/>
          <w:sz w:val="21"/>
          <w:szCs w:val="21"/>
        </w:rPr>
      </w:pPr>
      <w:r w:rsidRPr="50D629E8">
        <w:rPr>
          <w:rFonts w:ascii="Segoe UI" w:eastAsia="Segoe UI" w:hAnsi="Segoe UI" w:cs="Segoe UI"/>
          <w:sz w:val="21"/>
          <w:szCs w:val="21"/>
        </w:rPr>
        <w:t>In addition, the excessive use of non-advertised staffing processes was raised as a significant concern, particularly within subordinate organizations of MPC. These practices continue to undermine transparency, fairness, and employee confidence in staffing outcomes.</w:t>
      </w:r>
    </w:p>
    <w:p w14:paraId="7661878C" w14:textId="65E8ED29" w:rsidR="50D629E8" w:rsidRDefault="50D629E8" w:rsidP="50D629E8">
      <w:pPr>
        <w:pStyle w:val="ListParagraph"/>
        <w:spacing w:before="240" w:after="240"/>
        <w:rPr>
          <w:rFonts w:ascii="Segoe UI" w:eastAsia="Segoe UI" w:hAnsi="Segoe UI" w:cs="Segoe UI"/>
          <w:sz w:val="21"/>
          <w:szCs w:val="21"/>
        </w:rPr>
      </w:pPr>
    </w:p>
    <w:p w14:paraId="65A1B09C" w14:textId="4E95F9B9" w:rsidR="473EF605" w:rsidRDefault="473EF605" w:rsidP="50D629E8">
      <w:pPr>
        <w:pStyle w:val="ListParagraph"/>
        <w:numPr>
          <w:ilvl w:val="0"/>
          <w:numId w:val="8"/>
        </w:numPr>
        <w:spacing w:before="240" w:after="240"/>
        <w:rPr>
          <w:rFonts w:ascii="Segoe UI" w:eastAsia="Segoe UI" w:hAnsi="Segoe UI" w:cs="Segoe UI"/>
          <w:sz w:val="21"/>
          <w:szCs w:val="21"/>
        </w:rPr>
      </w:pPr>
      <w:r w:rsidRPr="50D629E8">
        <w:rPr>
          <w:rFonts w:ascii="Segoe UI" w:eastAsia="Segoe UI" w:hAnsi="Segoe UI" w:cs="Segoe UI"/>
          <w:sz w:val="21"/>
          <w:szCs w:val="21"/>
        </w:rPr>
        <w:t>New L1 – Canadian Joint Force Command (Overview)</w:t>
      </w:r>
      <w:r>
        <w:br/>
      </w:r>
      <w:r w:rsidRPr="50D629E8">
        <w:rPr>
          <w:rFonts w:ascii="Segoe UI" w:eastAsia="Segoe UI" w:hAnsi="Segoe UI" w:cs="Segoe UI"/>
          <w:sz w:val="21"/>
          <w:szCs w:val="21"/>
        </w:rPr>
        <w:t xml:space="preserve"> The following organizations fall under the new command structure: Chief Joint Logistics Service (CJLS), Canadian Forces Health Services (CF H Svcs), Chief Joint Capabilities Integration (CJCI), and Canadian Forces Military Personnel Group (CFMPG).</w:t>
      </w:r>
    </w:p>
    <w:p w14:paraId="751B0CA7" w14:textId="6C1AA296" w:rsidR="50D629E8" w:rsidRDefault="50D629E8" w:rsidP="50D629E8">
      <w:pPr>
        <w:pStyle w:val="ListParagraph"/>
        <w:spacing w:before="240" w:after="240"/>
        <w:rPr>
          <w:rFonts w:ascii="Segoe UI" w:eastAsia="Segoe UI" w:hAnsi="Segoe UI" w:cs="Segoe UI"/>
          <w:sz w:val="21"/>
          <w:szCs w:val="21"/>
        </w:rPr>
      </w:pPr>
    </w:p>
    <w:p w14:paraId="6DF6F6A5" w14:textId="00E514D4" w:rsidR="473EF605" w:rsidRDefault="473EF605" w:rsidP="50D629E8">
      <w:pPr>
        <w:pStyle w:val="ListParagraph"/>
        <w:numPr>
          <w:ilvl w:val="0"/>
          <w:numId w:val="8"/>
        </w:numPr>
        <w:spacing w:before="240" w:after="240"/>
        <w:rPr>
          <w:rFonts w:ascii="Segoe UI" w:eastAsia="Segoe UI" w:hAnsi="Segoe UI" w:cs="Segoe UI"/>
          <w:sz w:val="21"/>
          <w:szCs w:val="21"/>
        </w:rPr>
      </w:pPr>
      <w:r w:rsidRPr="50D629E8">
        <w:rPr>
          <w:rFonts w:ascii="Segoe UI" w:eastAsia="Segoe UI" w:hAnsi="Segoe UI" w:cs="Segoe UI"/>
          <w:sz w:val="21"/>
          <w:szCs w:val="21"/>
        </w:rPr>
        <w:lastRenderedPageBreak/>
        <w:t>The new command will jointly oversee approximately 10,000 CAF members, Public Service Employees (PSE), and Reservists. It is designed to improve cohesion and readiness within Canada and operate as a service-like organization responsible for force development, force generation, force management, and force sustainment of joint capabilities.</w:t>
      </w:r>
    </w:p>
    <w:p w14:paraId="7AC342ED" w14:textId="24FF7C6D" w:rsidR="50D629E8" w:rsidRDefault="50D629E8" w:rsidP="50D629E8">
      <w:pPr>
        <w:pStyle w:val="ListParagraph"/>
        <w:spacing w:before="240" w:after="240"/>
        <w:rPr>
          <w:rFonts w:ascii="Segoe UI" w:eastAsia="Segoe UI" w:hAnsi="Segoe UI" w:cs="Segoe UI"/>
          <w:sz w:val="21"/>
          <w:szCs w:val="21"/>
        </w:rPr>
      </w:pPr>
    </w:p>
    <w:p w14:paraId="1A239973" w14:textId="53657F32" w:rsidR="473EF605" w:rsidRDefault="473EF605" w:rsidP="50D629E8">
      <w:pPr>
        <w:pStyle w:val="ListParagraph"/>
        <w:numPr>
          <w:ilvl w:val="0"/>
          <w:numId w:val="8"/>
        </w:numPr>
        <w:spacing w:before="240" w:after="240"/>
        <w:rPr>
          <w:rFonts w:ascii="Segoe UI" w:eastAsia="Segoe UI" w:hAnsi="Segoe UI" w:cs="Segoe UI"/>
          <w:sz w:val="21"/>
          <w:szCs w:val="21"/>
        </w:rPr>
      </w:pPr>
      <w:r w:rsidRPr="50D629E8">
        <w:rPr>
          <w:rFonts w:ascii="Segoe UI" w:eastAsia="Segoe UI" w:hAnsi="Segoe UI" w:cs="Segoe UI"/>
          <w:sz w:val="21"/>
          <w:szCs w:val="21"/>
        </w:rPr>
        <w:t>The intent is for the Canadian Joint Force Command to evolve into a centre of excellence for joint capabilities.</w:t>
      </w:r>
    </w:p>
    <w:p w14:paraId="1E77D68C" w14:textId="65CAA4A2" w:rsidR="50D629E8" w:rsidRDefault="50D629E8" w:rsidP="50D629E8">
      <w:pPr>
        <w:pStyle w:val="ListParagraph"/>
        <w:spacing w:before="240" w:after="240"/>
        <w:rPr>
          <w:rFonts w:ascii="Segoe UI" w:eastAsia="Segoe UI" w:hAnsi="Segoe UI" w:cs="Segoe UI"/>
          <w:sz w:val="21"/>
          <w:szCs w:val="21"/>
        </w:rPr>
      </w:pPr>
    </w:p>
    <w:p w14:paraId="7BD1E693" w14:textId="1EF2540E" w:rsidR="473EF605" w:rsidRDefault="473EF605" w:rsidP="50D629E8">
      <w:pPr>
        <w:pStyle w:val="ListParagraph"/>
        <w:numPr>
          <w:ilvl w:val="0"/>
          <w:numId w:val="8"/>
        </w:numPr>
        <w:spacing w:before="240" w:after="240"/>
        <w:rPr>
          <w:rFonts w:ascii="Segoe UI" w:eastAsia="Segoe UI" w:hAnsi="Segoe UI" w:cs="Segoe UI"/>
          <w:sz w:val="21"/>
          <w:szCs w:val="21"/>
        </w:rPr>
      </w:pPr>
      <w:r w:rsidRPr="50D629E8">
        <w:rPr>
          <w:rFonts w:ascii="Segoe UI" w:eastAsia="Segoe UI" w:hAnsi="Segoe UI" w:cs="Segoe UI"/>
          <w:sz w:val="21"/>
          <w:szCs w:val="21"/>
        </w:rPr>
        <w:t>Core Philosophy – LEAD</w:t>
      </w:r>
      <w:r>
        <w:br/>
      </w:r>
      <w:r w:rsidRPr="50D629E8">
        <w:rPr>
          <w:rFonts w:ascii="Segoe UI" w:eastAsia="Segoe UI" w:hAnsi="Segoe UI" w:cs="Segoe UI"/>
          <w:sz w:val="21"/>
          <w:szCs w:val="21"/>
        </w:rPr>
        <w:t xml:space="preserve"> L – Lead Joint Capabilities</w:t>
      </w:r>
      <w:r>
        <w:br/>
      </w:r>
      <w:r w:rsidRPr="50D629E8">
        <w:rPr>
          <w:rFonts w:ascii="Segoe UI" w:eastAsia="Segoe UI" w:hAnsi="Segoe UI" w:cs="Segoe UI"/>
          <w:sz w:val="21"/>
          <w:szCs w:val="21"/>
        </w:rPr>
        <w:t xml:space="preserve"> E – Empower our people and execute with excellence</w:t>
      </w:r>
      <w:r>
        <w:br/>
      </w:r>
      <w:r w:rsidRPr="50D629E8">
        <w:rPr>
          <w:rFonts w:ascii="Segoe UI" w:eastAsia="Segoe UI" w:hAnsi="Segoe UI" w:cs="Segoe UI"/>
          <w:sz w:val="21"/>
          <w:szCs w:val="21"/>
        </w:rPr>
        <w:t xml:space="preserve"> A – Accelerate innovation and decision-making</w:t>
      </w:r>
      <w:r>
        <w:br/>
      </w:r>
      <w:r w:rsidRPr="50D629E8">
        <w:rPr>
          <w:rFonts w:ascii="Segoe UI" w:eastAsia="Segoe UI" w:hAnsi="Segoe UI" w:cs="Segoe UI"/>
          <w:sz w:val="21"/>
          <w:szCs w:val="21"/>
        </w:rPr>
        <w:t xml:space="preserve"> D – Deliver credible effects at the speed of relevance</w:t>
      </w:r>
    </w:p>
    <w:p w14:paraId="367EEB17" w14:textId="77777777" w:rsidR="000B63A6" w:rsidRPr="000B63A6" w:rsidRDefault="0005659A" w:rsidP="000B63A6">
      <w:pPr>
        <w:spacing w:after="0" w:line="300" w:lineRule="atLeast"/>
        <w:rPr>
          <w:rFonts w:ascii="Segoe UI" w:eastAsia="Times New Roman" w:hAnsi="Segoe UI" w:cs="Segoe UI"/>
          <w:kern w:val="0"/>
          <w:sz w:val="21"/>
          <w:szCs w:val="21"/>
          <w:lang w:eastAsia="en-CA"/>
          <w14:ligatures w14:val="none"/>
        </w:rPr>
      </w:pPr>
      <w:r>
        <w:rPr>
          <w:rFonts w:ascii="Segoe UI" w:eastAsia="Times New Roman" w:hAnsi="Segoe UI" w:cs="Segoe UI"/>
          <w:kern w:val="0"/>
          <w:sz w:val="21"/>
          <w:szCs w:val="21"/>
          <w:lang w:eastAsia="en-CA"/>
          <w14:ligatures w14:val="none"/>
        </w:rPr>
        <w:pict w14:anchorId="3CC60A7B">
          <v:rect id="_x0000_i1026" style="width:0;height:1.5pt" o:hralign="center" o:hrstd="t" o:hr="t" fillcolor="#a0a0a0" stroked="f"/>
        </w:pict>
      </w:r>
    </w:p>
    <w:p w14:paraId="3E0DAAF8" w14:textId="55A40981" w:rsidR="000B63A6" w:rsidRPr="000B63A6" w:rsidRDefault="2F1F4FF6" w:rsidP="50D629E8">
      <w:pPr>
        <w:spacing w:before="100" w:beforeAutospacing="1" w:after="100" w:afterAutospacing="1" w:line="300" w:lineRule="atLeast"/>
        <w:rPr>
          <w:rFonts w:ascii="Segoe UI" w:eastAsia="Times New Roman" w:hAnsi="Segoe UI" w:cs="Segoe UI"/>
          <w:b/>
          <w:bCs/>
          <w:kern w:val="0"/>
          <w:sz w:val="21"/>
          <w:szCs w:val="21"/>
          <w:lang w:eastAsia="en-CA"/>
          <w14:ligatures w14:val="none"/>
        </w:rPr>
      </w:pPr>
      <w:r w:rsidRPr="000B63A6">
        <w:rPr>
          <w:rFonts w:ascii="Segoe UI" w:eastAsia="Times New Roman" w:hAnsi="Segoe UI" w:cs="Segoe UI"/>
          <w:b/>
          <w:bCs/>
          <w:kern w:val="0"/>
          <w:sz w:val="21"/>
          <w:szCs w:val="21"/>
          <w:lang w:eastAsia="en-CA"/>
          <w14:ligatures w14:val="none"/>
        </w:rPr>
        <w:t xml:space="preserve">Respectfully </w:t>
      </w:r>
      <w:r w:rsidR="1F3A48A6" w:rsidRPr="000B63A6">
        <w:rPr>
          <w:rFonts w:ascii="Segoe UI" w:eastAsia="Times New Roman" w:hAnsi="Segoe UI" w:cs="Segoe UI"/>
          <w:b/>
          <w:bCs/>
          <w:kern w:val="0"/>
          <w:sz w:val="21"/>
          <w:szCs w:val="21"/>
          <w:lang w:eastAsia="en-CA"/>
          <w14:ligatures w14:val="none"/>
        </w:rPr>
        <w:t>Submitted,</w:t>
      </w:r>
    </w:p>
    <w:p w14:paraId="2D64CF3A" w14:textId="77777777" w:rsidR="000B63A6" w:rsidRPr="000B63A6" w:rsidRDefault="000B63A6" w:rsidP="6ABACBC9">
      <w:pPr>
        <w:spacing w:before="100" w:beforeAutospacing="1" w:after="100" w:afterAutospacing="1" w:line="300" w:lineRule="atLeast"/>
        <w:rPr>
          <w:rFonts w:ascii="Segoe UI" w:eastAsia="Times New Roman" w:hAnsi="Segoe UI" w:cs="Segoe UI"/>
          <w:kern w:val="0"/>
          <w:sz w:val="21"/>
          <w:szCs w:val="21"/>
          <w:lang w:eastAsia="en-CA"/>
          <w14:ligatures w14:val="none"/>
        </w:rPr>
      </w:pPr>
      <w:r w:rsidRPr="000B63A6">
        <w:rPr>
          <w:rFonts w:ascii="Segoe UI" w:eastAsia="Times New Roman" w:hAnsi="Segoe UI" w:cs="Segoe UI"/>
          <w:kern w:val="0"/>
          <w:sz w:val="21"/>
          <w:szCs w:val="21"/>
          <w:lang w:eastAsia="en-CA"/>
          <w14:ligatures w14:val="none"/>
        </w:rPr>
        <w:t>Shawn King</w:t>
      </w:r>
      <w:r w:rsidRPr="000B63A6">
        <w:rPr>
          <w:rFonts w:ascii="Segoe UI" w:eastAsia="Times New Roman" w:hAnsi="Segoe UI" w:cs="Segoe UI"/>
          <w:kern w:val="0"/>
          <w:sz w:val="21"/>
          <w:szCs w:val="21"/>
          <w:lang w:eastAsia="en-CA"/>
          <w14:ligatures w14:val="none"/>
        </w:rPr>
        <w:br/>
        <w:t>RVP, NCR</w:t>
      </w:r>
    </w:p>
    <w:p w14:paraId="0F6EA377" w14:textId="77777777" w:rsidR="000B63A6" w:rsidRPr="000B63A6" w:rsidRDefault="000B63A6" w:rsidP="000B63A6">
      <w:pPr>
        <w:spacing w:before="100" w:beforeAutospacing="1" w:after="100" w:afterAutospacing="1" w:line="300" w:lineRule="atLeast"/>
        <w:rPr>
          <w:rFonts w:ascii="Segoe UI" w:eastAsia="Times New Roman" w:hAnsi="Segoe UI" w:cs="Segoe UI"/>
          <w:kern w:val="0"/>
          <w:sz w:val="21"/>
          <w:szCs w:val="21"/>
          <w:lang w:eastAsia="en-CA"/>
          <w14:ligatures w14:val="none"/>
        </w:rPr>
      </w:pPr>
      <w:r w:rsidRPr="000B63A6">
        <w:rPr>
          <w:rFonts w:ascii="Segoe UI" w:eastAsia="Times New Roman" w:hAnsi="Segoe UI" w:cs="Segoe UI"/>
          <w:kern w:val="0"/>
          <w:sz w:val="21"/>
          <w:szCs w:val="21"/>
          <w:lang w:eastAsia="en-CA"/>
          <w14:ligatures w14:val="none"/>
        </w:rPr>
        <w:t>James Potts</w:t>
      </w:r>
      <w:r w:rsidRPr="000B63A6">
        <w:rPr>
          <w:rFonts w:ascii="Segoe UI" w:eastAsia="Times New Roman" w:hAnsi="Segoe UI" w:cs="Segoe UI"/>
          <w:kern w:val="0"/>
          <w:sz w:val="21"/>
          <w:szCs w:val="21"/>
          <w:lang w:eastAsia="en-CA"/>
          <w14:ligatures w14:val="none"/>
        </w:rPr>
        <w:br/>
        <w:t>RVP, Ontario</w:t>
      </w:r>
    </w:p>
    <w:p w14:paraId="06AECE67" w14:textId="77777777" w:rsidR="00B0729D" w:rsidRPr="000B63A6" w:rsidRDefault="00B0729D" w:rsidP="000B63A6"/>
    <w:sectPr w:rsidR="00B0729D" w:rsidRPr="000B63A6" w:rsidSect="00EE2F32">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3EC"/>
    <w:multiLevelType w:val="multilevel"/>
    <w:tmpl w:val="CE505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C3C2B"/>
    <w:multiLevelType w:val="hybridMultilevel"/>
    <w:tmpl w:val="33221BF2"/>
    <w:lvl w:ilvl="0" w:tplc="572CB6D8">
      <w:start w:val="2"/>
      <w:numFmt w:val="decimal"/>
      <w:lvlText w:val="%1."/>
      <w:lvlJc w:val="left"/>
      <w:pPr>
        <w:ind w:left="720" w:hanging="360"/>
      </w:pPr>
    </w:lvl>
    <w:lvl w:ilvl="1" w:tplc="F48C4212">
      <w:start w:val="1"/>
      <w:numFmt w:val="lowerLetter"/>
      <w:lvlText w:val="%2."/>
      <w:lvlJc w:val="left"/>
      <w:pPr>
        <w:ind w:left="1440" w:hanging="360"/>
      </w:pPr>
    </w:lvl>
    <w:lvl w:ilvl="2" w:tplc="FFA04CD6">
      <w:start w:val="1"/>
      <w:numFmt w:val="lowerRoman"/>
      <w:lvlText w:val="%3."/>
      <w:lvlJc w:val="right"/>
      <w:pPr>
        <w:ind w:left="2160" w:hanging="180"/>
      </w:pPr>
    </w:lvl>
    <w:lvl w:ilvl="3" w:tplc="052E1D54">
      <w:start w:val="1"/>
      <w:numFmt w:val="decimal"/>
      <w:lvlText w:val="%4."/>
      <w:lvlJc w:val="left"/>
      <w:pPr>
        <w:ind w:left="2880" w:hanging="360"/>
      </w:pPr>
    </w:lvl>
    <w:lvl w:ilvl="4" w:tplc="6330B0F2">
      <w:start w:val="1"/>
      <w:numFmt w:val="lowerLetter"/>
      <w:lvlText w:val="%5."/>
      <w:lvlJc w:val="left"/>
      <w:pPr>
        <w:ind w:left="3600" w:hanging="360"/>
      </w:pPr>
    </w:lvl>
    <w:lvl w:ilvl="5" w:tplc="BA2E20B8">
      <w:start w:val="1"/>
      <w:numFmt w:val="lowerRoman"/>
      <w:lvlText w:val="%6."/>
      <w:lvlJc w:val="right"/>
      <w:pPr>
        <w:ind w:left="4320" w:hanging="180"/>
      </w:pPr>
    </w:lvl>
    <w:lvl w:ilvl="6" w:tplc="9E128C1A">
      <w:start w:val="1"/>
      <w:numFmt w:val="decimal"/>
      <w:lvlText w:val="%7."/>
      <w:lvlJc w:val="left"/>
      <w:pPr>
        <w:ind w:left="5040" w:hanging="360"/>
      </w:pPr>
    </w:lvl>
    <w:lvl w:ilvl="7" w:tplc="5E1E2010">
      <w:start w:val="1"/>
      <w:numFmt w:val="lowerLetter"/>
      <w:lvlText w:val="%8."/>
      <w:lvlJc w:val="left"/>
      <w:pPr>
        <w:ind w:left="5760" w:hanging="360"/>
      </w:pPr>
    </w:lvl>
    <w:lvl w:ilvl="8" w:tplc="8FAAD70A">
      <w:start w:val="1"/>
      <w:numFmt w:val="lowerRoman"/>
      <w:lvlText w:val="%9."/>
      <w:lvlJc w:val="right"/>
      <w:pPr>
        <w:ind w:left="6480" w:hanging="180"/>
      </w:pPr>
    </w:lvl>
  </w:abstractNum>
  <w:abstractNum w:abstractNumId="2" w15:restartNumberingAfterBreak="0">
    <w:nsid w:val="0FDC1202"/>
    <w:multiLevelType w:val="multilevel"/>
    <w:tmpl w:val="18305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1259F9"/>
    <w:multiLevelType w:val="hybridMultilevel"/>
    <w:tmpl w:val="55A29076"/>
    <w:lvl w:ilvl="0" w:tplc="8AFA417A">
      <w:start w:val="4"/>
      <w:numFmt w:val="decimal"/>
      <w:lvlText w:val="%1."/>
      <w:lvlJc w:val="left"/>
      <w:pPr>
        <w:ind w:left="720" w:hanging="360"/>
      </w:pPr>
    </w:lvl>
    <w:lvl w:ilvl="1" w:tplc="6C3CA1CE">
      <w:start w:val="1"/>
      <w:numFmt w:val="lowerLetter"/>
      <w:lvlText w:val="%2."/>
      <w:lvlJc w:val="left"/>
      <w:pPr>
        <w:ind w:left="1440" w:hanging="360"/>
      </w:pPr>
    </w:lvl>
    <w:lvl w:ilvl="2" w:tplc="E212516E">
      <w:start w:val="1"/>
      <w:numFmt w:val="lowerRoman"/>
      <w:lvlText w:val="%3."/>
      <w:lvlJc w:val="right"/>
      <w:pPr>
        <w:ind w:left="2160" w:hanging="180"/>
      </w:pPr>
    </w:lvl>
    <w:lvl w:ilvl="3" w:tplc="8348FC9A">
      <w:start w:val="1"/>
      <w:numFmt w:val="decimal"/>
      <w:lvlText w:val="%4."/>
      <w:lvlJc w:val="left"/>
      <w:pPr>
        <w:ind w:left="2880" w:hanging="360"/>
      </w:pPr>
    </w:lvl>
    <w:lvl w:ilvl="4" w:tplc="5D74B422">
      <w:start w:val="1"/>
      <w:numFmt w:val="lowerLetter"/>
      <w:lvlText w:val="%5."/>
      <w:lvlJc w:val="left"/>
      <w:pPr>
        <w:ind w:left="3600" w:hanging="360"/>
      </w:pPr>
    </w:lvl>
    <w:lvl w:ilvl="5" w:tplc="02D2A182">
      <w:start w:val="1"/>
      <w:numFmt w:val="lowerRoman"/>
      <w:lvlText w:val="%6."/>
      <w:lvlJc w:val="right"/>
      <w:pPr>
        <w:ind w:left="4320" w:hanging="180"/>
      </w:pPr>
    </w:lvl>
    <w:lvl w:ilvl="6" w:tplc="98E4E2DE">
      <w:start w:val="1"/>
      <w:numFmt w:val="decimal"/>
      <w:lvlText w:val="%7."/>
      <w:lvlJc w:val="left"/>
      <w:pPr>
        <w:ind w:left="5040" w:hanging="360"/>
      </w:pPr>
    </w:lvl>
    <w:lvl w:ilvl="7" w:tplc="0B24ADBC">
      <w:start w:val="1"/>
      <w:numFmt w:val="lowerLetter"/>
      <w:lvlText w:val="%8."/>
      <w:lvlJc w:val="left"/>
      <w:pPr>
        <w:ind w:left="5760" w:hanging="360"/>
      </w:pPr>
    </w:lvl>
    <w:lvl w:ilvl="8" w:tplc="70586334">
      <w:start w:val="1"/>
      <w:numFmt w:val="lowerRoman"/>
      <w:lvlText w:val="%9."/>
      <w:lvlJc w:val="right"/>
      <w:pPr>
        <w:ind w:left="6480" w:hanging="180"/>
      </w:pPr>
    </w:lvl>
  </w:abstractNum>
  <w:abstractNum w:abstractNumId="4" w15:restartNumberingAfterBreak="0">
    <w:nsid w:val="13531C06"/>
    <w:multiLevelType w:val="multilevel"/>
    <w:tmpl w:val="9DE60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B90528"/>
    <w:multiLevelType w:val="hybridMultilevel"/>
    <w:tmpl w:val="34FAA51C"/>
    <w:lvl w:ilvl="0" w:tplc="8ACAFF72">
      <w:start w:val="1"/>
      <w:numFmt w:val="decimal"/>
      <w:lvlText w:val="%1."/>
      <w:lvlJc w:val="left"/>
      <w:pPr>
        <w:ind w:left="720" w:hanging="360"/>
      </w:pPr>
    </w:lvl>
    <w:lvl w:ilvl="1" w:tplc="5BE6DB1A">
      <w:start w:val="1"/>
      <w:numFmt w:val="lowerLetter"/>
      <w:lvlText w:val="%2."/>
      <w:lvlJc w:val="left"/>
      <w:pPr>
        <w:ind w:left="1440" w:hanging="360"/>
      </w:pPr>
    </w:lvl>
    <w:lvl w:ilvl="2" w:tplc="156A06B6">
      <w:start w:val="1"/>
      <w:numFmt w:val="lowerRoman"/>
      <w:lvlText w:val="%3."/>
      <w:lvlJc w:val="right"/>
      <w:pPr>
        <w:ind w:left="2160" w:hanging="180"/>
      </w:pPr>
    </w:lvl>
    <w:lvl w:ilvl="3" w:tplc="D952B15C">
      <w:start w:val="1"/>
      <w:numFmt w:val="decimal"/>
      <w:lvlText w:val="%4."/>
      <w:lvlJc w:val="left"/>
      <w:pPr>
        <w:ind w:left="2880" w:hanging="360"/>
      </w:pPr>
    </w:lvl>
    <w:lvl w:ilvl="4" w:tplc="C9B6DAB2">
      <w:start w:val="1"/>
      <w:numFmt w:val="lowerLetter"/>
      <w:lvlText w:val="%5."/>
      <w:lvlJc w:val="left"/>
      <w:pPr>
        <w:ind w:left="3600" w:hanging="360"/>
      </w:pPr>
    </w:lvl>
    <w:lvl w:ilvl="5" w:tplc="619028DA">
      <w:start w:val="1"/>
      <w:numFmt w:val="lowerRoman"/>
      <w:lvlText w:val="%6."/>
      <w:lvlJc w:val="right"/>
      <w:pPr>
        <w:ind w:left="4320" w:hanging="180"/>
      </w:pPr>
    </w:lvl>
    <w:lvl w:ilvl="6" w:tplc="A8BCB16A">
      <w:start w:val="1"/>
      <w:numFmt w:val="decimal"/>
      <w:lvlText w:val="%7."/>
      <w:lvlJc w:val="left"/>
      <w:pPr>
        <w:ind w:left="5040" w:hanging="360"/>
      </w:pPr>
    </w:lvl>
    <w:lvl w:ilvl="7" w:tplc="DD269A7C">
      <w:start w:val="1"/>
      <w:numFmt w:val="lowerLetter"/>
      <w:lvlText w:val="%8."/>
      <w:lvlJc w:val="left"/>
      <w:pPr>
        <w:ind w:left="5760" w:hanging="360"/>
      </w:pPr>
    </w:lvl>
    <w:lvl w:ilvl="8" w:tplc="16041B4A">
      <w:start w:val="1"/>
      <w:numFmt w:val="lowerRoman"/>
      <w:lvlText w:val="%9."/>
      <w:lvlJc w:val="right"/>
      <w:pPr>
        <w:ind w:left="6480" w:hanging="180"/>
      </w:pPr>
    </w:lvl>
  </w:abstractNum>
  <w:abstractNum w:abstractNumId="6" w15:restartNumberingAfterBreak="0">
    <w:nsid w:val="1B9A2C42"/>
    <w:multiLevelType w:val="multilevel"/>
    <w:tmpl w:val="2390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91F2E"/>
    <w:multiLevelType w:val="multilevel"/>
    <w:tmpl w:val="B310F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4A7F1B"/>
    <w:multiLevelType w:val="multilevel"/>
    <w:tmpl w:val="16842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D809C8"/>
    <w:multiLevelType w:val="multilevel"/>
    <w:tmpl w:val="BBCC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9E3054"/>
    <w:multiLevelType w:val="multilevel"/>
    <w:tmpl w:val="984C4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7B5777"/>
    <w:multiLevelType w:val="multilevel"/>
    <w:tmpl w:val="DCF8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C71EAB"/>
    <w:multiLevelType w:val="multilevel"/>
    <w:tmpl w:val="6770D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2B1226"/>
    <w:multiLevelType w:val="multilevel"/>
    <w:tmpl w:val="CB24A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C42CE6"/>
    <w:multiLevelType w:val="multilevel"/>
    <w:tmpl w:val="43104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380469"/>
    <w:multiLevelType w:val="hybridMultilevel"/>
    <w:tmpl w:val="F1780D98"/>
    <w:lvl w:ilvl="0" w:tplc="FBBE3C14">
      <w:start w:val="3"/>
      <w:numFmt w:val="decimal"/>
      <w:lvlText w:val="%1."/>
      <w:lvlJc w:val="left"/>
      <w:pPr>
        <w:ind w:left="720" w:hanging="360"/>
      </w:pPr>
    </w:lvl>
    <w:lvl w:ilvl="1" w:tplc="3F1EC0A0">
      <w:start w:val="1"/>
      <w:numFmt w:val="lowerLetter"/>
      <w:lvlText w:val="%2."/>
      <w:lvlJc w:val="left"/>
      <w:pPr>
        <w:ind w:left="1440" w:hanging="360"/>
      </w:pPr>
    </w:lvl>
    <w:lvl w:ilvl="2" w:tplc="5E1488B4">
      <w:start w:val="1"/>
      <w:numFmt w:val="lowerRoman"/>
      <w:lvlText w:val="%3."/>
      <w:lvlJc w:val="right"/>
      <w:pPr>
        <w:ind w:left="2160" w:hanging="180"/>
      </w:pPr>
    </w:lvl>
    <w:lvl w:ilvl="3" w:tplc="EDA09D90">
      <w:start w:val="1"/>
      <w:numFmt w:val="decimal"/>
      <w:lvlText w:val="%4."/>
      <w:lvlJc w:val="left"/>
      <w:pPr>
        <w:ind w:left="2880" w:hanging="360"/>
      </w:pPr>
    </w:lvl>
    <w:lvl w:ilvl="4" w:tplc="29201BBA">
      <w:start w:val="1"/>
      <w:numFmt w:val="lowerLetter"/>
      <w:lvlText w:val="%5."/>
      <w:lvlJc w:val="left"/>
      <w:pPr>
        <w:ind w:left="3600" w:hanging="360"/>
      </w:pPr>
    </w:lvl>
    <w:lvl w:ilvl="5" w:tplc="0D06E2EC">
      <w:start w:val="1"/>
      <w:numFmt w:val="lowerRoman"/>
      <w:lvlText w:val="%6."/>
      <w:lvlJc w:val="right"/>
      <w:pPr>
        <w:ind w:left="4320" w:hanging="180"/>
      </w:pPr>
    </w:lvl>
    <w:lvl w:ilvl="6" w:tplc="10D03EF8">
      <w:start w:val="1"/>
      <w:numFmt w:val="decimal"/>
      <w:lvlText w:val="%7."/>
      <w:lvlJc w:val="left"/>
      <w:pPr>
        <w:ind w:left="5040" w:hanging="360"/>
      </w:pPr>
    </w:lvl>
    <w:lvl w:ilvl="7" w:tplc="40A6B312">
      <w:start w:val="1"/>
      <w:numFmt w:val="lowerLetter"/>
      <w:lvlText w:val="%8."/>
      <w:lvlJc w:val="left"/>
      <w:pPr>
        <w:ind w:left="5760" w:hanging="360"/>
      </w:pPr>
    </w:lvl>
    <w:lvl w:ilvl="8" w:tplc="68D05832">
      <w:start w:val="1"/>
      <w:numFmt w:val="lowerRoman"/>
      <w:lvlText w:val="%9."/>
      <w:lvlJc w:val="right"/>
      <w:pPr>
        <w:ind w:left="6480" w:hanging="180"/>
      </w:pPr>
    </w:lvl>
  </w:abstractNum>
  <w:abstractNum w:abstractNumId="16" w15:restartNumberingAfterBreak="0">
    <w:nsid w:val="62312C53"/>
    <w:multiLevelType w:val="multilevel"/>
    <w:tmpl w:val="2E14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6E7DC9"/>
    <w:multiLevelType w:val="multilevel"/>
    <w:tmpl w:val="9670C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9778059">
    <w:abstractNumId w:val="3"/>
  </w:num>
  <w:num w:numId="2" w16cid:durableId="422534708">
    <w:abstractNumId w:val="15"/>
  </w:num>
  <w:num w:numId="3" w16cid:durableId="654383870">
    <w:abstractNumId w:val="1"/>
  </w:num>
  <w:num w:numId="4" w16cid:durableId="40133500">
    <w:abstractNumId w:val="5"/>
  </w:num>
  <w:num w:numId="5" w16cid:durableId="1351565315">
    <w:abstractNumId w:val="11"/>
  </w:num>
  <w:num w:numId="6" w16cid:durableId="90899609">
    <w:abstractNumId w:val="16"/>
  </w:num>
  <w:num w:numId="7" w16cid:durableId="251620943">
    <w:abstractNumId w:val="7"/>
  </w:num>
  <w:num w:numId="8" w16cid:durableId="759520080">
    <w:abstractNumId w:val="4"/>
  </w:num>
  <w:num w:numId="9" w16cid:durableId="1419406677">
    <w:abstractNumId w:val="2"/>
  </w:num>
  <w:num w:numId="10" w16cid:durableId="1724254393">
    <w:abstractNumId w:val="9"/>
  </w:num>
  <w:num w:numId="11" w16cid:durableId="1897810745">
    <w:abstractNumId w:val="13"/>
  </w:num>
  <w:num w:numId="12" w16cid:durableId="1042366169">
    <w:abstractNumId w:val="0"/>
  </w:num>
  <w:num w:numId="13" w16cid:durableId="1159270405">
    <w:abstractNumId w:val="14"/>
  </w:num>
  <w:num w:numId="14" w16cid:durableId="1375542554">
    <w:abstractNumId w:val="12"/>
  </w:num>
  <w:num w:numId="15" w16cid:durableId="1464153585">
    <w:abstractNumId w:val="10"/>
  </w:num>
  <w:num w:numId="16" w16cid:durableId="1945067309">
    <w:abstractNumId w:val="6"/>
  </w:num>
  <w:num w:numId="17" w16cid:durableId="880289421">
    <w:abstractNumId w:val="17"/>
  </w:num>
  <w:num w:numId="18" w16cid:durableId="6769320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EED"/>
    <w:rsid w:val="0005509F"/>
    <w:rsid w:val="000B63A6"/>
    <w:rsid w:val="001F51D6"/>
    <w:rsid w:val="002D52B1"/>
    <w:rsid w:val="0042251C"/>
    <w:rsid w:val="005637F1"/>
    <w:rsid w:val="007161E1"/>
    <w:rsid w:val="00845361"/>
    <w:rsid w:val="008B4D2D"/>
    <w:rsid w:val="009A7C2F"/>
    <w:rsid w:val="00AB0606"/>
    <w:rsid w:val="00AC6430"/>
    <w:rsid w:val="00B0729D"/>
    <w:rsid w:val="00BC4F9A"/>
    <w:rsid w:val="00C273F8"/>
    <w:rsid w:val="00C84DFE"/>
    <w:rsid w:val="00EE2F32"/>
    <w:rsid w:val="00F11EED"/>
    <w:rsid w:val="1F3A48A6"/>
    <w:rsid w:val="23652225"/>
    <w:rsid w:val="2F1F4FF6"/>
    <w:rsid w:val="34E1B5FB"/>
    <w:rsid w:val="473EF605"/>
    <w:rsid w:val="47B143E5"/>
    <w:rsid w:val="4F8F881E"/>
    <w:rsid w:val="50D629E8"/>
    <w:rsid w:val="53E58BA7"/>
    <w:rsid w:val="56A01552"/>
    <w:rsid w:val="6837E13F"/>
    <w:rsid w:val="6A516BBC"/>
    <w:rsid w:val="6ABACBC9"/>
    <w:rsid w:val="73710A82"/>
    <w:rsid w:val="7A35A47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9120F"/>
  <w15:chartTrackingRefBased/>
  <w15:docId w15:val="{3D942664-B27A-4B3A-B805-B129192AC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1E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11E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11EE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11E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11E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11E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1E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1E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1E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E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11E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11E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1E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11E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11E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1E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1E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1EED"/>
    <w:rPr>
      <w:rFonts w:eastAsiaTheme="majorEastAsia" w:cstheme="majorBidi"/>
      <w:color w:val="272727" w:themeColor="text1" w:themeTint="D8"/>
    </w:rPr>
  </w:style>
  <w:style w:type="paragraph" w:styleId="Title">
    <w:name w:val="Title"/>
    <w:basedOn w:val="Normal"/>
    <w:next w:val="Normal"/>
    <w:link w:val="TitleChar"/>
    <w:uiPriority w:val="10"/>
    <w:qFormat/>
    <w:rsid w:val="00F11E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1E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1E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1E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1EED"/>
    <w:pPr>
      <w:spacing w:before="160"/>
      <w:jc w:val="center"/>
    </w:pPr>
    <w:rPr>
      <w:i/>
      <w:iCs/>
      <w:color w:val="404040" w:themeColor="text1" w:themeTint="BF"/>
    </w:rPr>
  </w:style>
  <w:style w:type="character" w:customStyle="1" w:styleId="QuoteChar">
    <w:name w:val="Quote Char"/>
    <w:basedOn w:val="DefaultParagraphFont"/>
    <w:link w:val="Quote"/>
    <w:uiPriority w:val="29"/>
    <w:rsid w:val="00F11EED"/>
    <w:rPr>
      <w:i/>
      <w:iCs/>
      <w:color w:val="404040" w:themeColor="text1" w:themeTint="BF"/>
    </w:rPr>
  </w:style>
  <w:style w:type="paragraph" w:styleId="ListParagraph">
    <w:name w:val="List Paragraph"/>
    <w:basedOn w:val="Normal"/>
    <w:uiPriority w:val="34"/>
    <w:qFormat/>
    <w:rsid w:val="00F11EED"/>
    <w:pPr>
      <w:ind w:left="720"/>
      <w:contextualSpacing/>
    </w:pPr>
  </w:style>
  <w:style w:type="character" w:styleId="IntenseEmphasis">
    <w:name w:val="Intense Emphasis"/>
    <w:basedOn w:val="DefaultParagraphFont"/>
    <w:uiPriority w:val="21"/>
    <w:qFormat/>
    <w:rsid w:val="00F11EED"/>
    <w:rPr>
      <w:i/>
      <w:iCs/>
      <w:color w:val="2F5496" w:themeColor="accent1" w:themeShade="BF"/>
    </w:rPr>
  </w:style>
  <w:style w:type="paragraph" w:styleId="IntenseQuote">
    <w:name w:val="Intense Quote"/>
    <w:basedOn w:val="Normal"/>
    <w:next w:val="Normal"/>
    <w:link w:val="IntenseQuoteChar"/>
    <w:uiPriority w:val="30"/>
    <w:qFormat/>
    <w:rsid w:val="00F11E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1EED"/>
    <w:rPr>
      <w:i/>
      <w:iCs/>
      <w:color w:val="2F5496" w:themeColor="accent1" w:themeShade="BF"/>
    </w:rPr>
  </w:style>
  <w:style w:type="character" w:styleId="IntenseReference">
    <w:name w:val="Intense Reference"/>
    <w:basedOn w:val="DefaultParagraphFont"/>
    <w:uiPriority w:val="32"/>
    <w:qFormat/>
    <w:rsid w:val="00F11EED"/>
    <w:rPr>
      <w:b/>
      <w:bCs/>
      <w:smallCaps/>
      <w:color w:val="2F5496" w:themeColor="accent1" w:themeShade="BF"/>
      <w:spacing w:val="5"/>
    </w:rPr>
  </w:style>
  <w:style w:type="paragraph" w:styleId="NormalWeb">
    <w:name w:val="Normal (Web)"/>
    <w:basedOn w:val="Normal"/>
    <w:uiPriority w:val="99"/>
    <w:semiHidden/>
    <w:unhideWhenUsed/>
    <w:rsid w:val="00EE2F32"/>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Strong">
    <w:name w:val="Strong"/>
    <w:basedOn w:val="DefaultParagraphFont"/>
    <w:uiPriority w:val="22"/>
    <w:qFormat/>
    <w:rsid w:val="00EE2F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46108">
      <w:bodyDiv w:val="1"/>
      <w:marLeft w:val="0"/>
      <w:marRight w:val="0"/>
      <w:marTop w:val="0"/>
      <w:marBottom w:val="0"/>
      <w:divBdr>
        <w:top w:val="none" w:sz="0" w:space="0" w:color="auto"/>
        <w:left w:val="none" w:sz="0" w:space="0" w:color="auto"/>
        <w:bottom w:val="none" w:sz="0" w:space="0" w:color="auto"/>
        <w:right w:val="none" w:sz="0" w:space="0" w:color="auto"/>
      </w:divBdr>
    </w:div>
    <w:div w:id="710496723">
      <w:bodyDiv w:val="1"/>
      <w:marLeft w:val="0"/>
      <w:marRight w:val="0"/>
      <w:marTop w:val="0"/>
      <w:marBottom w:val="0"/>
      <w:divBdr>
        <w:top w:val="none" w:sz="0" w:space="0" w:color="auto"/>
        <w:left w:val="none" w:sz="0" w:space="0" w:color="auto"/>
        <w:bottom w:val="none" w:sz="0" w:space="0" w:color="auto"/>
        <w:right w:val="none" w:sz="0" w:space="0" w:color="auto"/>
      </w:divBdr>
      <w:divsChild>
        <w:div w:id="1554657248">
          <w:marLeft w:val="0"/>
          <w:marRight w:val="0"/>
          <w:marTop w:val="0"/>
          <w:marBottom w:val="0"/>
          <w:divBdr>
            <w:top w:val="none" w:sz="0" w:space="0" w:color="auto"/>
            <w:left w:val="none" w:sz="0" w:space="0" w:color="auto"/>
            <w:bottom w:val="none" w:sz="0" w:space="0" w:color="auto"/>
            <w:right w:val="none" w:sz="0" w:space="0" w:color="auto"/>
          </w:divBdr>
        </w:div>
      </w:divsChild>
    </w:div>
    <w:div w:id="768813813">
      <w:bodyDiv w:val="1"/>
      <w:marLeft w:val="0"/>
      <w:marRight w:val="0"/>
      <w:marTop w:val="0"/>
      <w:marBottom w:val="0"/>
      <w:divBdr>
        <w:top w:val="none" w:sz="0" w:space="0" w:color="auto"/>
        <w:left w:val="none" w:sz="0" w:space="0" w:color="auto"/>
        <w:bottom w:val="none" w:sz="0" w:space="0" w:color="auto"/>
        <w:right w:val="none" w:sz="0" w:space="0" w:color="auto"/>
      </w:divBdr>
    </w:div>
    <w:div w:id="1307588379">
      <w:bodyDiv w:val="1"/>
      <w:marLeft w:val="0"/>
      <w:marRight w:val="0"/>
      <w:marTop w:val="0"/>
      <w:marBottom w:val="0"/>
      <w:divBdr>
        <w:top w:val="none" w:sz="0" w:space="0" w:color="auto"/>
        <w:left w:val="none" w:sz="0" w:space="0" w:color="auto"/>
        <w:bottom w:val="none" w:sz="0" w:space="0" w:color="auto"/>
        <w:right w:val="none" w:sz="0" w:space="0" w:color="auto"/>
      </w:divBdr>
    </w:div>
    <w:div w:id="1442604664">
      <w:bodyDiv w:val="1"/>
      <w:marLeft w:val="0"/>
      <w:marRight w:val="0"/>
      <w:marTop w:val="0"/>
      <w:marBottom w:val="0"/>
      <w:divBdr>
        <w:top w:val="none" w:sz="0" w:space="0" w:color="auto"/>
        <w:left w:val="none" w:sz="0" w:space="0" w:color="auto"/>
        <w:bottom w:val="none" w:sz="0" w:space="0" w:color="auto"/>
        <w:right w:val="none" w:sz="0" w:space="0" w:color="auto"/>
      </w:divBdr>
    </w:div>
    <w:div w:id="2044669776">
      <w:bodyDiv w:val="1"/>
      <w:marLeft w:val="0"/>
      <w:marRight w:val="0"/>
      <w:marTop w:val="0"/>
      <w:marBottom w:val="0"/>
      <w:divBdr>
        <w:top w:val="none" w:sz="0" w:space="0" w:color="auto"/>
        <w:left w:val="none" w:sz="0" w:space="0" w:color="auto"/>
        <w:bottom w:val="none" w:sz="0" w:space="0" w:color="auto"/>
        <w:right w:val="none" w:sz="0" w:space="0" w:color="auto"/>
      </w:divBdr>
    </w:div>
    <w:div w:id="206439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784</Words>
  <Characters>4471</Characters>
  <Application>Microsoft Office Word</Application>
  <DocSecurity>0</DocSecurity>
  <Lines>37</Lines>
  <Paragraphs>10</Paragraphs>
  <ScaleCrop>false</ScaleCrop>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King</dc:creator>
  <cp:keywords/>
  <dc:description/>
  <cp:lastModifiedBy>Sandra Mombourquette</cp:lastModifiedBy>
  <cp:revision>5</cp:revision>
  <dcterms:created xsi:type="dcterms:W3CDTF">2026-04-19T22:38:00Z</dcterms:created>
  <dcterms:modified xsi:type="dcterms:W3CDTF">2026-04-23T18:36:00Z</dcterms:modified>
</cp:coreProperties>
</file>