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0E59E9C6">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6490D3BA" w:rsidR="00DE25B7" w:rsidRPr="005C44A6" w:rsidRDefault="005C44A6" w:rsidP="00DE25B7">
      <w:pPr>
        <w:rPr>
          <w:rFonts w:ascii="Times New Roman" w:hAnsi="Times New Roman" w:cs="Times New Roman"/>
          <w:b/>
          <w:bCs/>
          <w:sz w:val="24"/>
          <w:szCs w:val="24"/>
          <w:lang w:val="fr-CA"/>
        </w:rPr>
      </w:pPr>
      <w:r w:rsidRPr="005C44A6">
        <w:rPr>
          <w:rFonts w:ascii="Times New Roman" w:hAnsi="Times New Roman" w:cs="Times New Roman"/>
          <w:b/>
          <w:bCs/>
          <w:sz w:val="24"/>
          <w:szCs w:val="24"/>
          <w:lang w:val="fr-CA"/>
        </w:rPr>
        <w:t>Groupe SMA</w:t>
      </w:r>
      <w:r w:rsidR="000A6923" w:rsidRPr="005C44A6">
        <w:rPr>
          <w:rFonts w:ascii="Times New Roman" w:hAnsi="Times New Roman" w:cs="Times New Roman"/>
          <w:b/>
          <w:bCs/>
          <w:sz w:val="24"/>
          <w:szCs w:val="24"/>
          <w:lang w:val="fr-CA"/>
        </w:rPr>
        <w:t xml:space="preserve"> (Mat) </w:t>
      </w:r>
      <w:r w:rsidRPr="005C44A6">
        <w:rPr>
          <w:rFonts w:ascii="Times New Roman" w:hAnsi="Times New Roman" w:cs="Times New Roman"/>
          <w:b/>
          <w:bCs/>
          <w:sz w:val="24"/>
          <w:szCs w:val="24"/>
          <w:lang w:val="fr-CA"/>
        </w:rPr>
        <w:t>Rapport</w:t>
      </w:r>
    </w:p>
    <w:p w14:paraId="47AE8986" w14:textId="4627F31F" w:rsidR="005C44A6" w:rsidRPr="005C44A6" w:rsidRDefault="005C44A6" w:rsidP="005C44A6">
      <w:pPr>
        <w:pStyle w:val="NormalWeb"/>
        <w:rPr>
          <w:lang w:val="fr-CA"/>
        </w:rPr>
      </w:pPr>
      <w:r w:rsidRPr="005C44A6">
        <w:rPr>
          <w:lang w:val="fr-CA"/>
        </w:rPr>
        <w:t>La réunion du Comité mixte de gestion (CMG) d</w:t>
      </w:r>
      <w:r>
        <w:rPr>
          <w:lang w:val="fr-CA"/>
        </w:rPr>
        <w:t>u SMA</w:t>
      </w:r>
      <w:r w:rsidRPr="005C44A6">
        <w:rPr>
          <w:lang w:val="fr-CA"/>
        </w:rPr>
        <w:t xml:space="preserve"> (Mat) et d</w:t>
      </w:r>
      <w:r>
        <w:rPr>
          <w:lang w:val="fr-CA"/>
        </w:rPr>
        <w:t>u CCSP</w:t>
      </w:r>
      <w:r w:rsidRPr="005C44A6">
        <w:rPr>
          <w:lang w:val="fr-CA"/>
        </w:rPr>
        <w:t xml:space="preserve"> (GLMC) s'est tenue le 16 janvier 2026.</w:t>
      </w:r>
    </w:p>
    <w:p w14:paraId="0DDEA30A" w14:textId="77777777" w:rsidR="005C44A6" w:rsidRPr="005C44A6" w:rsidRDefault="005C44A6" w:rsidP="005C44A6">
      <w:pPr>
        <w:pStyle w:val="NormalWeb"/>
        <w:rPr>
          <w:lang w:val="fr-CA"/>
        </w:rPr>
      </w:pPr>
      <w:r w:rsidRPr="005C44A6">
        <w:rPr>
          <w:lang w:val="fr-CA"/>
        </w:rPr>
        <w:t>La coprésidente patronale, Mme Nancy Tremblay, et le coprésident syndical, M. Adam Gray.</w:t>
      </w:r>
    </w:p>
    <w:p w14:paraId="31216371" w14:textId="77777777" w:rsidR="005C44A6" w:rsidRPr="005C44A6" w:rsidRDefault="005C44A6" w:rsidP="005C44A6">
      <w:pPr>
        <w:pStyle w:val="NormalWeb"/>
        <w:rPr>
          <w:lang w:val="fr-CA"/>
        </w:rPr>
      </w:pPr>
      <w:r w:rsidRPr="005C44A6">
        <w:rPr>
          <w:b/>
          <w:bCs/>
          <w:lang w:val="fr-CA"/>
        </w:rPr>
        <w:t>Stationnement</w:t>
      </w:r>
    </w:p>
    <w:p w14:paraId="68F0B15A" w14:textId="77777777" w:rsidR="005C44A6" w:rsidRPr="005C44A6" w:rsidRDefault="005C44A6" w:rsidP="005C44A6">
      <w:pPr>
        <w:pStyle w:val="NormalWeb"/>
        <w:rPr>
          <w:lang w:val="fr-CA"/>
        </w:rPr>
      </w:pPr>
      <w:r w:rsidRPr="005C44A6">
        <w:rPr>
          <w:lang w:val="fr-CA"/>
        </w:rPr>
        <w:t>Le stationnement pour les membres travaillant au Bureau national d'impression reste un problème. Nous continuons de travailler avec la direction locale et divisionnaire pour améliorer la situation du stationnement sur place. Il reste à voir comment ils vont accueillir jusqu’à 150 employés supplémentaires au Bureau national d’impression, avec le déménagement éventuel du personnel du 975, boulevard Saint-Joseph à Gatineau. À ce jour, aucune solution permanente n’a été trouvée, bien qu’un service de navette ait été mis en place. Toute augmentation de la politique de retour au bureau ne fera qu’aggraver la situation.</w:t>
      </w:r>
    </w:p>
    <w:p w14:paraId="74D0B896" w14:textId="77777777" w:rsidR="005C44A6" w:rsidRPr="005C44A6" w:rsidRDefault="005C44A6" w:rsidP="005C44A6">
      <w:pPr>
        <w:pStyle w:val="NormalWeb"/>
        <w:rPr>
          <w:lang w:val="fr-CA"/>
        </w:rPr>
      </w:pPr>
      <w:r w:rsidRPr="005C44A6">
        <w:rPr>
          <w:b/>
          <w:bCs/>
          <w:lang w:val="fr-CA"/>
        </w:rPr>
        <w:t>Santé et sécurité</w:t>
      </w:r>
    </w:p>
    <w:p w14:paraId="06464C1B" w14:textId="77777777" w:rsidR="005C44A6" w:rsidRPr="005C44A6" w:rsidRDefault="005C44A6" w:rsidP="005C44A6">
      <w:pPr>
        <w:pStyle w:val="NormalWeb"/>
        <w:rPr>
          <w:lang w:val="fr-CA"/>
        </w:rPr>
      </w:pPr>
      <w:r w:rsidRPr="005C44A6">
        <w:rPr>
          <w:lang w:val="fr-CA"/>
        </w:rPr>
        <w:t>Des préoccupations ont été soulevées quant au fait que certaines unités subordonnées ne disposent pas de comités de santé et de sécurité opérationnels. La direction a identifié ce défi comme étant d’ordre géographique. Les membres du groupe du SMA(Mat) sont répartis dans plusieurs bâtiments. Dans certains cas, il est logique d’organiser une réunion réservée à ce groupe, tandis que dans d’autres, il serait préférable de faire appel à un comité mixte composé d’occupants d’une partie d’un lieu de travail physique particulier.</w:t>
      </w:r>
    </w:p>
    <w:p w14:paraId="51E253CA" w14:textId="7F93250A" w:rsidR="005C44A6" w:rsidRPr="005C44A6" w:rsidRDefault="005C44A6" w:rsidP="005C44A6">
      <w:pPr>
        <w:pStyle w:val="NormalWeb"/>
        <w:rPr>
          <w:lang w:val="fr-CA"/>
        </w:rPr>
      </w:pPr>
      <w:r w:rsidRPr="005C44A6">
        <w:rPr>
          <w:lang w:val="fr-CA"/>
        </w:rPr>
        <w:t xml:space="preserve">Un problème de gestion de l’amiante a été constaté dans l’édifice Major-General </w:t>
      </w:r>
      <w:proofErr w:type="spellStart"/>
      <w:r w:rsidRPr="005C44A6">
        <w:rPr>
          <w:lang w:val="fr-CA"/>
        </w:rPr>
        <w:t>Pearkes</w:t>
      </w:r>
      <w:proofErr w:type="spellEnd"/>
      <w:r w:rsidRPr="005C44A6">
        <w:rPr>
          <w:lang w:val="fr-CA"/>
        </w:rPr>
        <w:t xml:space="preserve">. Les mesures prises en collaboration avec le personnel de santé et de sécurité du </w:t>
      </w:r>
      <w:r>
        <w:rPr>
          <w:lang w:val="fr-CA"/>
        </w:rPr>
        <w:t xml:space="preserve">GFSC </w:t>
      </w:r>
      <w:r w:rsidRPr="005C44A6">
        <w:rPr>
          <w:lang w:val="fr-CA"/>
        </w:rPr>
        <w:t>(O-G) ont permis d’améliorer le respect par l’entrepreneur des protocoles du plan de gestion de l’amiante. En particulier, les employés sont désormais correctement informés de tout travail susceptible de générer des particules en suspension dans l’air contenant de l’amiante et d’autres substances toxiques. Les protocoles appropriés de désamiantage sont respectés.</w:t>
      </w:r>
    </w:p>
    <w:p w14:paraId="7D499D50" w14:textId="77777777" w:rsidR="005C44A6" w:rsidRDefault="005C44A6" w:rsidP="005C44A6">
      <w:pPr>
        <w:pStyle w:val="NormalWeb"/>
        <w:rPr>
          <w:b/>
          <w:bCs/>
          <w:lang w:val="fr-CA"/>
        </w:rPr>
      </w:pPr>
    </w:p>
    <w:p w14:paraId="72B55E1F" w14:textId="4B00EB24" w:rsidR="005C44A6" w:rsidRPr="005C44A6" w:rsidRDefault="005C44A6" w:rsidP="005C44A6">
      <w:pPr>
        <w:pStyle w:val="NormalWeb"/>
        <w:rPr>
          <w:lang w:val="fr-CA"/>
        </w:rPr>
      </w:pPr>
      <w:r w:rsidRPr="005C44A6">
        <w:rPr>
          <w:b/>
          <w:bCs/>
          <w:lang w:val="fr-CA"/>
        </w:rPr>
        <w:lastRenderedPageBreak/>
        <w:t>Espaces de travail au Campus Carling</w:t>
      </w:r>
    </w:p>
    <w:p w14:paraId="32E8C120" w14:textId="77777777" w:rsidR="005C44A6" w:rsidRPr="005C44A6" w:rsidRDefault="005C44A6" w:rsidP="005C44A6">
      <w:pPr>
        <w:pStyle w:val="NormalWeb"/>
        <w:rPr>
          <w:lang w:val="fr-CA"/>
        </w:rPr>
      </w:pPr>
      <w:r w:rsidRPr="005C44A6">
        <w:rPr>
          <w:lang w:val="fr-CA"/>
        </w:rPr>
        <w:t>Des discussions ont eu lieu avec le SMA(IE) concernant la disponibilité d’espaces de travail, y compris au Campus Carling. Il a indiqué que Services publics et Approvisionnement Canada (SPAC) avait également manifesté son intérêt, bien que des défis subsistent, et a confirmé que l’ancien concept de « campus » avait été abandonné car il n’était pas jugé viable à l’époque. L’approche « de quartier » a été mentionnée comme un moyen d’identifier les groupes qui devraient travailler à proximité les uns des autres afin de favoriser la cohésion d’équipe. Il a été souligné que ce travail doit s’aligner sur l’initiative fédérale plus large visant à réduire l’empreinte des lieux de travail dans la région de la capitale nationale (RCN).</w:t>
      </w:r>
    </w:p>
    <w:p w14:paraId="2645B7D3" w14:textId="77777777" w:rsidR="005C44A6" w:rsidRPr="005C44A6" w:rsidRDefault="005C44A6" w:rsidP="005C44A6">
      <w:pPr>
        <w:pStyle w:val="NormalWeb"/>
        <w:rPr>
          <w:lang w:val="fr-CA"/>
        </w:rPr>
      </w:pPr>
      <w:r w:rsidRPr="005C44A6">
        <w:rPr>
          <w:b/>
          <w:bCs/>
          <w:lang w:val="fr-CA"/>
        </w:rPr>
        <w:t>Le point sur la planification des ressources humaines</w:t>
      </w:r>
    </w:p>
    <w:p w14:paraId="5BA9F344" w14:textId="77777777" w:rsidR="005C44A6" w:rsidRPr="005C44A6" w:rsidRDefault="005C44A6" w:rsidP="005C44A6">
      <w:pPr>
        <w:pStyle w:val="NormalWeb"/>
        <w:rPr>
          <w:lang w:val="fr-CA"/>
        </w:rPr>
      </w:pPr>
      <w:r w:rsidRPr="005C44A6">
        <w:rPr>
          <w:lang w:val="fr-CA"/>
        </w:rPr>
        <w:t>Des efforts sont déployés pour rationaliser les processus et répondre aux besoins en matière de dépenses. Parmi les initiatives, citons : les inventaires des parcours de mobilité, l’inventaire de gestion des talents, la banque de CV de niveau 1. Les efforts actuels en matière de ressources humaines comprennent : l’optimisation de l’alignement des ressources, la prise en compte des exigences linguistiques pour les postes de supervision dans les régions bilingues, la gestion des retards liés aux habilitations de sécurité. Les priorités en matière de dotation comprennent : l’augmentation du recrutement d’employés débutants, la planification de processus de dotation non obligatoires.</w:t>
      </w:r>
    </w:p>
    <w:p w14:paraId="21E65AD6" w14:textId="77777777" w:rsidR="005C44A6" w:rsidRPr="005C44A6" w:rsidRDefault="005C44A6" w:rsidP="005C44A6">
      <w:pPr>
        <w:pStyle w:val="NormalWeb"/>
        <w:rPr>
          <w:lang w:val="fr-CA"/>
        </w:rPr>
      </w:pPr>
      <w:r w:rsidRPr="005C44A6">
        <w:rPr>
          <w:lang w:val="fr-CA"/>
        </w:rPr>
        <w:t>Une nouvelle organisation de niveau L2, le Directeur général – Gestion des programmes d’équipement interarmées (DGJEPM), a été créée. Il a indiqué que la Direction – Gestion technique des munitions et des explosifs (DTMME) et le Centre d’essais de qualité technique (TQTC) ont été transférés vers cette organisation en décembre. Il a confirmé qu’un code d’identification d’unité (UIC) avait été créé pour établir la structure financière. Les prochaines étapes comprennent le travail cyclique du directeur – Administration du programme des systèmes de commandement terrestres (DLCSPA) ainsi que la poursuite de la définition des capacités interarmées. Il a indiqué que la communication est maintenue afin de tenir les employés informés.</w:t>
      </w:r>
    </w:p>
    <w:p w14:paraId="1D378322" w14:textId="45C19397" w:rsidR="005C44A6" w:rsidRPr="005C44A6" w:rsidRDefault="005C44A6" w:rsidP="005C44A6">
      <w:pPr>
        <w:pStyle w:val="NormalWeb"/>
        <w:rPr>
          <w:lang w:val="fr-CA"/>
        </w:rPr>
      </w:pPr>
      <w:r>
        <w:rPr>
          <w:lang w:val="fr-CA"/>
        </w:rPr>
        <w:t>Respectueusement soumis</w:t>
      </w:r>
      <w:r w:rsidRPr="005C44A6">
        <w:rPr>
          <w:lang w:val="fr-CA"/>
        </w:rPr>
        <w:t>,</w:t>
      </w:r>
    </w:p>
    <w:p w14:paraId="75AE7C73" w14:textId="77777777" w:rsidR="005C44A6" w:rsidRPr="005C44A6" w:rsidRDefault="005C44A6" w:rsidP="005C44A6">
      <w:pPr>
        <w:pStyle w:val="NormalWeb"/>
        <w:rPr>
          <w:lang w:val="fr-CA"/>
        </w:rPr>
      </w:pPr>
      <w:r w:rsidRPr="005C44A6">
        <w:rPr>
          <w:lang w:val="fr-CA"/>
        </w:rPr>
        <w:t>James Potts</w:t>
      </w:r>
    </w:p>
    <w:p w14:paraId="41E94475" w14:textId="77777777" w:rsidR="005C44A6" w:rsidRPr="005C44A6" w:rsidRDefault="005C44A6" w:rsidP="005C44A6">
      <w:pPr>
        <w:pStyle w:val="NormalWeb"/>
        <w:rPr>
          <w:lang w:val="fr-CA"/>
        </w:rPr>
      </w:pPr>
      <w:r w:rsidRPr="005C44A6">
        <w:rPr>
          <w:lang w:val="fr-CA"/>
        </w:rPr>
        <w:t>Vice-président – Région de l'Ontario de l'UEDN</w:t>
      </w:r>
    </w:p>
    <w:p w14:paraId="2CF41FEF" w14:textId="77777777" w:rsidR="005C44A6" w:rsidRPr="005C44A6" w:rsidRDefault="005C44A6" w:rsidP="005C44A6">
      <w:pPr>
        <w:pStyle w:val="NormalWeb"/>
        <w:rPr>
          <w:lang w:val="fr-CA"/>
        </w:rPr>
      </w:pPr>
      <w:r w:rsidRPr="005C44A6">
        <w:rPr>
          <w:lang w:val="fr-CA"/>
        </w:rPr>
        <w:t>Vice-président exécutif suppléant de l'UEDN</w:t>
      </w:r>
    </w:p>
    <w:p w14:paraId="34F51773" w14:textId="77777777" w:rsidR="003278FF" w:rsidRPr="005C44A6" w:rsidRDefault="003278FF" w:rsidP="00DE25B7">
      <w:pPr>
        <w:rPr>
          <w:rFonts w:ascii="Times New Roman" w:hAnsi="Times New Roman" w:cs="Times New Roman"/>
          <w:color w:val="C45911" w:themeColor="accent2" w:themeShade="BF"/>
          <w:sz w:val="24"/>
          <w:szCs w:val="24"/>
          <w:lang w:val="fr-CA"/>
        </w:rPr>
      </w:pPr>
    </w:p>
    <w:sectPr w:rsidR="003278FF" w:rsidRPr="005C44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4593436"/>
    <w:multiLevelType w:val="hybridMultilevel"/>
    <w:tmpl w:val="74823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5A49BD"/>
    <w:multiLevelType w:val="hybridMultilevel"/>
    <w:tmpl w:val="E19E2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9"/>
  </w:num>
  <w:num w:numId="3" w16cid:durableId="130903680">
    <w:abstractNumId w:val="1"/>
  </w:num>
  <w:num w:numId="4" w16cid:durableId="2065061563">
    <w:abstractNumId w:val="0"/>
  </w:num>
  <w:num w:numId="5" w16cid:durableId="208536204">
    <w:abstractNumId w:val="3"/>
  </w:num>
  <w:num w:numId="6" w16cid:durableId="1364133684">
    <w:abstractNumId w:val="12"/>
  </w:num>
  <w:num w:numId="7" w16cid:durableId="640887109">
    <w:abstractNumId w:val="10"/>
  </w:num>
  <w:num w:numId="8" w16cid:durableId="1218779758">
    <w:abstractNumId w:val="4"/>
  </w:num>
  <w:num w:numId="9" w16cid:durableId="1081684818">
    <w:abstractNumId w:val="2"/>
  </w:num>
  <w:num w:numId="10" w16cid:durableId="1253852115">
    <w:abstractNumId w:val="6"/>
  </w:num>
  <w:num w:numId="11" w16cid:durableId="1019548290">
    <w:abstractNumId w:val="7"/>
  </w:num>
  <w:num w:numId="12" w16cid:durableId="1424692220">
    <w:abstractNumId w:val="8"/>
  </w:num>
  <w:num w:numId="13" w16cid:durableId="1356541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24564"/>
    <w:rsid w:val="000335F4"/>
    <w:rsid w:val="00084EF3"/>
    <w:rsid w:val="000A6923"/>
    <w:rsid w:val="000C338C"/>
    <w:rsid w:val="000C728E"/>
    <w:rsid w:val="001061A6"/>
    <w:rsid w:val="00111696"/>
    <w:rsid w:val="001212C6"/>
    <w:rsid w:val="0013351F"/>
    <w:rsid w:val="00171002"/>
    <w:rsid w:val="0019069F"/>
    <w:rsid w:val="001A05BD"/>
    <w:rsid w:val="001A7E6E"/>
    <w:rsid w:val="001C7984"/>
    <w:rsid w:val="001E1DD1"/>
    <w:rsid w:val="001F250D"/>
    <w:rsid w:val="001F25F7"/>
    <w:rsid w:val="001F374F"/>
    <w:rsid w:val="001F3D46"/>
    <w:rsid w:val="001F7613"/>
    <w:rsid w:val="00204D1B"/>
    <w:rsid w:val="002055B1"/>
    <w:rsid w:val="00220618"/>
    <w:rsid w:val="0024468E"/>
    <w:rsid w:val="00246503"/>
    <w:rsid w:val="0028418A"/>
    <w:rsid w:val="00290C92"/>
    <w:rsid w:val="002C4C33"/>
    <w:rsid w:val="002E5F75"/>
    <w:rsid w:val="0030424F"/>
    <w:rsid w:val="00310FEB"/>
    <w:rsid w:val="00316E04"/>
    <w:rsid w:val="0032683F"/>
    <w:rsid w:val="003278FF"/>
    <w:rsid w:val="00385A21"/>
    <w:rsid w:val="003904E4"/>
    <w:rsid w:val="003941F8"/>
    <w:rsid w:val="003F12CD"/>
    <w:rsid w:val="0042251C"/>
    <w:rsid w:val="004276A2"/>
    <w:rsid w:val="0047110D"/>
    <w:rsid w:val="0048014B"/>
    <w:rsid w:val="00480CD9"/>
    <w:rsid w:val="004937B0"/>
    <w:rsid w:val="004966D6"/>
    <w:rsid w:val="004A425F"/>
    <w:rsid w:val="00501F55"/>
    <w:rsid w:val="00514EFB"/>
    <w:rsid w:val="00530EAE"/>
    <w:rsid w:val="00547C68"/>
    <w:rsid w:val="0055420A"/>
    <w:rsid w:val="00594E79"/>
    <w:rsid w:val="005A37D5"/>
    <w:rsid w:val="005C44A6"/>
    <w:rsid w:val="005D415C"/>
    <w:rsid w:val="005D544F"/>
    <w:rsid w:val="005D707E"/>
    <w:rsid w:val="00603011"/>
    <w:rsid w:val="006210D2"/>
    <w:rsid w:val="00623B7A"/>
    <w:rsid w:val="00625022"/>
    <w:rsid w:val="0066083E"/>
    <w:rsid w:val="00662ED0"/>
    <w:rsid w:val="0068558C"/>
    <w:rsid w:val="00691EF0"/>
    <w:rsid w:val="006A7CFF"/>
    <w:rsid w:val="006B1A50"/>
    <w:rsid w:val="006F4509"/>
    <w:rsid w:val="006F77B7"/>
    <w:rsid w:val="00714DCA"/>
    <w:rsid w:val="00735621"/>
    <w:rsid w:val="00736EE2"/>
    <w:rsid w:val="007537CD"/>
    <w:rsid w:val="007563A7"/>
    <w:rsid w:val="00756CBE"/>
    <w:rsid w:val="00776C43"/>
    <w:rsid w:val="00791347"/>
    <w:rsid w:val="007B06E6"/>
    <w:rsid w:val="007D6AFF"/>
    <w:rsid w:val="007E5EF3"/>
    <w:rsid w:val="007F065F"/>
    <w:rsid w:val="007F5B5C"/>
    <w:rsid w:val="007F789E"/>
    <w:rsid w:val="00815675"/>
    <w:rsid w:val="00833EC4"/>
    <w:rsid w:val="00842D28"/>
    <w:rsid w:val="00844825"/>
    <w:rsid w:val="00845ECB"/>
    <w:rsid w:val="0084616A"/>
    <w:rsid w:val="00851208"/>
    <w:rsid w:val="008539FE"/>
    <w:rsid w:val="00875E86"/>
    <w:rsid w:val="008766B1"/>
    <w:rsid w:val="008C49A9"/>
    <w:rsid w:val="008D734B"/>
    <w:rsid w:val="008F02F0"/>
    <w:rsid w:val="008F2F45"/>
    <w:rsid w:val="0090346F"/>
    <w:rsid w:val="0090653A"/>
    <w:rsid w:val="00913CE6"/>
    <w:rsid w:val="00943614"/>
    <w:rsid w:val="00971B5F"/>
    <w:rsid w:val="0098553F"/>
    <w:rsid w:val="00991242"/>
    <w:rsid w:val="009D433F"/>
    <w:rsid w:val="009E2000"/>
    <w:rsid w:val="009E3E91"/>
    <w:rsid w:val="009F7FD5"/>
    <w:rsid w:val="00A14236"/>
    <w:rsid w:val="00A16EC9"/>
    <w:rsid w:val="00A46BCB"/>
    <w:rsid w:val="00A5106D"/>
    <w:rsid w:val="00A5166B"/>
    <w:rsid w:val="00A5505F"/>
    <w:rsid w:val="00A67724"/>
    <w:rsid w:val="00A77CBF"/>
    <w:rsid w:val="00A85EDA"/>
    <w:rsid w:val="00AB63E3"/>
    <w:rsid w:val="00AB6B93"/>
    <w:rsid w:val="00AC5C9C"/>
    <w:rsid w:val="00AD5758"/>
    <w:rsid w:val="00AE476E"/>
    <w:rsid w:val="00B0265C"/>
    <w:rsid w:val="00B313A3"/>
    <w:rsid w:val="00B34498"/>
    <w:rsid w:val="00B42337"/>
    <w:rsid w:val="00B43BA5"/>
    <w:rsid w:val="00B6024C"/>
    <w:rsid w:val="00BC4E2F"/>
    <w:rsid w:val="00BD5E38"/>
    <w:rsid w:val="00C01B1D"/>
    <w:rsid w:val="00C03F04"/>
    <w:rsid w:val="00C1524A"/>
    <w:rsid w:val="00C24B6F"/>
    <w:rsid w:val="00C24D58"/>
    <w:rsid w:val="00C41D84"/>
    <w:rsid w:val="00C71A93"/>
    <w:rsid w:val="00C71DEA"/>
    <w:rsid w:val="00C823DE"/>
    <w:rsid w:val="00C867E2"/>
    <w:rsid w:val="00CB030C"/>
    <w:rsid w:val="00CB1AFE"/>
    <w:rsid w:val="00CE4C3D"/>
    <w:rsid w:val="00CF3DED"/>
    <w:rsid w:val="00CF6CA6"/>
    <w:rsid w:val="00D16333"/>
    <w:rsid w:val="00D17291"/>
    <w:rsid w:val="00D22C9F"/>
    <w:rsid w:val="00D24804"/>
    <w:rsid w:val="00D45079"/>
    <w:rsid w:val="00D51A28"/>
    <w:rsid w:val="00D768F0"/>
    <w:rsid w:val="00D81256"/>
    <w:rsid w:val="00DA656C"/>
    <w:rsid w:val="00DB264B"/>
    <w:rsid w:val="00DB7E7F"/>
    <w:rsid w:val="00DE25B7"/>
    <w:rsid w:val="00DF7A73"/>
    <w:rsid w:val="00E44835"/>
    <w:rsid w:val="00E4484F"/>
    <w:rsid w:val="00E52B2C"/>
    <w:rsid w:val="00E70F5C"/>
    <w:rsid w:val="00E728D6"/>
    <w:rsid w:val="00E80C7D"/>
    <w:rsid w:val="00EA1B7E"/>
    <w:rsid w:val="00EA1E64"/>
    <w:rsid w:val="00EB0247"/>
    <w:rsid w:val="00EB6167"/>
    <w:rsid w:val="00EB6967"/>
    <w:rsid w:val="00EC5E63"/>
    <w:rsid w:val="00ED74B3"/>
    <w:rsid w:val="00F05AD7"/>
    <w:rsid w:val="00F21069"/>
    <w:rsid w:val="00F34F2B"/>
    <w:rsid w:val="00F44D20"/>
    <w:rsid w:val="00F672DD"/>
    <w:rsid w:val="00F96F7F"/>
    <w:rsid w:val="00FA47D9"/>
    <w:rsid w:val="00FA6CA7"/>
    <w:rsid w:val="00FA7195"/>
    <w:rsid w:val="00FC050C"/>
    <w:rsid w:val="00FC2507"/>
    <w:rsid w:val="00FC7DE2"/>
    <w:rsid w:val="00FD0897"/>
    <w:rsid w:val="00FE2D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27D950-1F1B-4F30-8687-176D0509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110562393">
          <w:marLeft w:val="0"/>
          <w:marRight w:val="0"/>
          <w:marTop w:val="0"/>
          <w:marBottom w:val="0"/>
          <w:divBdr>
            <w:top w:val="none" w:sz="0" w:space="0" w:color="auto"/>
            <w:left w:val="none" w:sz="0" w:space="0" w:color="auto"/>
            <w:bottom w:val="none" w:sz="0" w:space="0" w:color="auto"/>
            <w:right w:val="none" w:sz="0" w:space="0" w:color="auto"/>
          </w:divBdr>
        </w:div>
        <w:div w:id="121656756">
          <w:marLeft w:val="0"/>
          <w:marRight w:val="0"/>
          <w:marTop w:val="0"/>
          <w:marBottom w:val="0"/>
          <w:divBdr>
            <w:top w:val="none" w:sz="0" w:space="0" w:color="auto"/>
            <w:left w:val="none" w:sz="0" w:space="0" w:color="auto"/>
            <w:bottom w:val="none" w:sz="0" w:space="0" w:color="auto"/>
            <w:right w:val="none" w:sz="0" w:space="0" w:color="auto"/>
          </w:divBdr>
        </w:div>
        <w:div w:id="1162308782">
          <w:marLeft w:val="0"/>
          <w:marRight w:val="0"/>
          <w:marTop w:val="0"/>
          <w:marBottom w:val="0"/>
          <w:divBdr>
            <w:top w:val="none" w:sz="0" w:space="0" w:color="auto"/>
            <w:left w:val="none" w:sz="0" w:space="0" w:color="auto"/>
            <w:bottom w:val="none" w:sz="0" w:space="0" w:color="auto"/>
            <w:right w:val="none" w:sz="0" w:space="0" w:color="auto"/>
          </w:divBdr>
        </w:div>
        <w:div w:id="1244409285">
          <w:marLeft w:val="0"/>
          <w:marRight w:val="0"/>
          <w:marTop w:val="0"/>
          <w:marBottom w:val="0"/>
          <w:divBdr>
            <w:top w:val="none" w:sz="0" w:space="0" w:color="auto"/>
            <w:left w:val="none" w:sz="0" w:space="0" w:color="auto"/>
            <w:bottom w:val="none" w:sz="0" w:space="0" w:color="auto"/>
            <w:right w:val="none" w:sz="0" w:space="0" w:color="auto"/>
          </w:divBdr>
        </w:div>
        <w:div w:id="1253274665">
          <w:marLeft w:val="0"/>
          <w:marRight w:val="0"/>
          <w:marTop w:val="0"/>
          <w:marBottom w:val="0"/>
          <w:divBdr>
            <w:top w:val="none" w:sz="0" w:space="0" w:color="auto"/>
            <w:left w:val="none" w:sz="0" w:space="0" w:color="auto"/>
            <w:bottom w:val="none" w:sz="0" w:space="0" w:color="auto"/>
            <w:right w:val="none" w:sz="0" w:space="0" w:color="auto"/>
          </w:divBdr>
        </w:div>
        <w:div w:id="1265305210">
          <w:marLeft w:val="0"/>
          <w:marRight w:val="0"/>
          <w:marTop w:val="0"/>
          <w:marBottom w:val="0"/>
          <w:divBdr>
            <w:top w:val="none" w:sz="0" w:space="0" w:color="auto"/>
            <w:left w:val="none" w:sz="0" w:space="0" w:color="auto"/>
            <w:bottom w:val="none" w:sz="0" w:space="0" w:color="auto"/>
            <w:right w:val="none" w:sz="0" w:space="0" w:color="auto"/>
          </w:divBdr>
        </w:div>
        <w:div w:id="1337153915">
          <w:marLeft w:val="0"/>
          <w:marRight w:val="0"/>
          <w:marTop w:val="0"/>
          <w:marBottom w:val="0"/>
          <w:divBdr>
            <w:top w:val="none" w:sz="0" w:space="0" w:color="auto"/>
            <w:left w:val="none" w:sz="0" w:space="0" w:color="auto"/>
            <w:bottom w:val="none" w:sz="0" w:space="0" w:color="auto"/>
            <w:right w:val="none" w:sz="0" w:space="0" w:color="auto"/>
          </w:divBdr>
        </w:div>
        <w:div w:id="1370717468">
          <w:marLeft w:val="0"/>
          <w:marRight w:val="0"/>
          <w:marTop w:val="0"/>
          <w:marBottom w:val="0"/>
          <w:divBdr>
            <w:top w:val="none" w:sz="0" w:space="0" w:color="auto"/>
            <w:left w:val="none" w:sz="0" w:space="0" w:color="auto"/>
            <w:bottom w:val="none" w:sz="0" w:space="0" w:color="auto"/>
            <w:right w:val="none" w:sz="0" w:space="0" w:color="auto"/>
          </w:divBdr>
        </w:div>
        <w:div w:id="1650014224">
          <w:marLeft w:val="0"/>
          <w:marRight w:val="0"/>
          <w:marTop w:val="0"/>
          <w:marBottom w:val="0"/>
          <w:divBdr>
            <w:top w:val="none" w:sz="0" w:space="0" w:color="auto"/>
            <w:left w:val="none" w:sz="0" w:space="0" w:color="auto"/>
            <w:bottom w:val="none" w:sz="0" w:space="0" w:color="auto"/>
            <w:right w:val="none" w:sz="0" w:space="0" w:color="auto"/>
          </w:divBdr>
        </w:div>
        <w:div w:id="1675645646">
          <w:marLeft w:val="0"/>
          <w:marRight w:val="0"/>
          <w:marTop w:val="0"/>
          <w:marBottom w:val="0"/>
          <w:divBdr>
            <w:top w:val="none" w:sz="0" w:space="0" w:color="auto"/>
            <w:left w:val="none" w:sz="0" w:space="0" w:color="auto"/>
            <w:bottom w:val="none" w:sz="0" w:space="0" w:color="auto"/>
            <w:right w:val="none" w:sz="0" w:space="0" w:color="auto"/>
          </w:divBdr>
        </w:div>
        <w:div w:id="1804468234">
          <w:marLeft w:val="0"/>
          <w:marRight w:val="0"/>
          <w:marTop w:val="0"/>
          <w:marBottom w:val="0"/>
          <w:divBdr>
            <w:top w:val="none" w:sz="0" w:space="0" w:color="auto"/>
            <w:left w:val="none" w:sz="0" w:space="0" w:color="auto"/>
            <w:bottom w:val="none" w:sz="0" w:space="0" w:color="auto"/>
            <w:right w:val="none" w:sz="0" w:space="0" w:color="auto"/>
          </w:divBdr>
        </w:div>
        <w:div w:id="1904288947">
          <w:marLeft w:val="0"/>
          <w:marRight w:val="0"/>
          <w:marTop w:val="0"/>
          <w:marBottom w:val="0"/>
          <w:divBdr>
            <w:top w:val="none" w:sz="0" w:space="0" w:color="auto"/>
            <w:left w:val="none" w:sz="0" w:space="0" w:color="auto"/>
            <w:bottom w:val="none" w:sz="0" w:space="0" w:color="auto"/>
            <w:right w:val="none" w:sz="0" w:space="0" w:color="auto"/>
          </w:divBdr>
        </w:div>
        <w:div w:id="1994526393">
          <w:marLeft w:val="0"/>
          <w:marRight w:val="0"/>
          <w:marTop w:val="0"/>
          <w:marBottom w:val="0"/>
          <w:divBdr>
            <w:top w:val="none" w:sz="0" w:space="0" w:color="auto"/>
            <w:left w:val="none" w:sz="0" w:space="0" w:color="auto"/>
            <w:bottom w:val="none" w:sz="0" w:space="0" w:color="auto"/>
            <w:right w:val="none" w:sz="0" w:space="0" w:color="auto"/>
          </w:divBdr>
        </w:div>
        <w:div w:id="2135899933">
          <w:marLeft w:val="0"/>
          <w:marRight w:val="0"/>
          <w:marTop w:val="0"/>
          <w:marBottom w:val="0"/>
          <w:divBdr>
            <w:top w:val="none" w:sz="0" w:space="0" w:color="auto"/>
            <w:left w:val="none" w:sz="0" w:space="0" w:color="auto"/>
            <w:bottom w:val="none" w:sz="0" w:space="0" w:color="auto"/>
            <w:right w:val="none" w:sz="0" w:space="0" w:color="auto"/>
          </w:divBdr>
        </w:div>
      </w:divsChild>
    </w:div>
    <w:div w:id="605039666">
      <w:bodyDiv w:val="1"/>
      <w:marLeft w:val="0"/>
      <w:marRight w:val="0"/>
      <w:marTop w:val="0"/>
      <w:marBottom w:val="0"/>
      <w:divBdr>
        <w:top w:val="none" w:sz="0" w:space="0" w:color="auto"/>
        <w:left w:val="none" w:sz="0" w:space="0" w:color="auto"/>
        <w:bottom w:val="none" w:sz="0" w:space="0" w:color="auto"/>
        <w:right w:val="none" w:sz="0" w:space="0" w:color="auto"/>
      </w:divBdr>
      <w:divsChild>
        <w:div w:id="142089594">
          <w:marLeft w:val="0"/>
          <w:marRight w:val="0"/>
          <w:marTop w:val="0"/>
          <w:marBottom w:val="0"/>
          <w:divBdr>
            <w:top w:val="none" w:sz="0" w:space="0" w:color="auto"/>
            <w:left w:val="none" w:sz="0" w:space="0" w:color="auto"/>
            <w:bottom w:val="none" w:sz="0" w:space="0" w:color="auto"/>
            <w:right w:val="none" w:sz="0" w:space="0" w:color="auto"/>
          </w:divBdr>
        </w:div>
        <w:div w:id="291642740">
          <w:marLeft w:val="0"/>
          <w:marRight w:val="0"/>
          <w:marTop w:val="0"/>
          <w:marBottom w:val="0"/>
          <w:divBdr>
            <w:top w:val="none" w:sz="0" w:space="0" w:color="auto"/>
            <w:left w:val="none" w:sz="0" w:space="0" w:color="auto"/>
            <w:bottom w:val="none" w:sz="0" w:space="0" w:color="auto"/>
            <w:right w:val="none" w:sz="0" w:space="0" w:color="auto"/>
          </w:divBdr>
        </w:div>
        <w:div w:id="484930650">
          <w:marLeft w:val="0"/>
          <w:marRight w:val="0"/>
          <w:marTop w:val="0"/>
          <w:marBottom w:val="0"/>
          <w:divBdr>
            <w:top w:val="none" w:sz="0" w:space="0" w:color="auto"/>
            <w:left w:val="none" w:sz="0" w:space="0" w:color="auto"/>
            <w:bottom w:val="none" w:sz="0" w:space="0" w:color="auto"/>
            <w:right w:val="none" w:sz="0" w:space="0" w:color="auto"/>
          </w:divBdr>
        </w:div>
        <w:div w:id="1054809945">
          <w:marLeft w:val="0"/>
          <w:marRight w:val="0"/>
          <w:marTop w:val="0"/>
          <w:marBottom w:val="0"/>
          <w:divBdr>
            <w:top w:val="none" w:sz="0" w:space="0" w:color="auto"/>
            <w:left w:val="none" w:sz="0" w:space="0" w:color="auto"/>
            <w:bottom w:val="none" w:sz="0" w:space="0" w:color="auto"/>
            <w:right w:val="none" w:sz="0" w:space="0" w:color="auto"/>
          </w:divBdr>
        </w:div>
        <w:div w:id="1396928837">
          <w:marLeft w:val="0"/>
          <w:marRight w:val="0"/>
          <w:marTop w:val="0"/>
          <w:marBottom w:val="0"/>
          <w:divBdr>
            <w:top w:val="none" w:sz="0" w:space="0" w:color="auto"/>
            <w:left w:val="none" w:sz="0" w:space="0" w:color="auto"/>
            <w:bottom w:val="none" w:sz="0" w:space="0" w:color="auto"/>
            <w:right w:val="none" w:sz="0" w:space="0" w:color="auto"/>
          </w:divBdr>
        </w:div>
      </w:divsChild>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111781486">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33747573">
      <w:bodyDiv w:val="1"/>
      <w:marLeft w:val="0"/>
      <w:marRight w:val="0"/>
      <w:marTop w:val="0"/>
      <w:marBottom w:val="0"/>
      <w:divBdr>
        <w:top w:val="none" w:sz="0" w:space="0" w:color="auto"/>
        <w:left w:val="none" w:sz="0" w:space="0" w:color="auto"/>
        <w:bottom w:val="none" w:sz="0" w:space="0" w:color="auto"/>
        <w:right w:val="none" w:sz="0" w:space="0" w:color="auto"/>
      </w:divBdr>
      <w:divsChild>
        <w:div w:id="51971495">
          <w:marLeft w:val="0"/>
          <w:marRight w:val="0"/>
          <w:marTop w:val="0"/>
          <w:marBottom w:val="0"/>
          <w:divBdr>
            <w:top w:val="none" w:sz="0" w:space="0" w:color="auto"/>
            <w:left w:val="none" w:sz="0" w:space="0" w:color="auto"/>
            <w:bottom w:val="none" w:sz="0" w:space="0" w:color="auto"/>
            <w:right w:val="none" w:sz="0" w:space="0" w:color="auto"/>
          </w:divBdr>
        </w:div>
        <w:div w:id="238104596">
          <w:marLeft w:val="0"/>
          <w:marRight w:val="0"/>
          <w:marTop w:val="0"/>
          <w:marBottom w:val="0"/>
          <w:divBdr>
            <w:top w:val="none" w:sz="0" w:space="0" w:color="auto"/>
            <w:left w:val="none" w:sz="0" w:space="0" w:color="auto"/>
            <w:bottom w:val="none" w:sz="0" w:space="0" w:color="auto"/>
            <w:right w:val="none" w:sz="0" w:space="0" w:color="auto"/>
          </w:divBdr>
        </w:div>
        <w:div w:id="320474853">
          <w:marLeft w:val="0"/>
          <w:marRight w:val="0"/>
          <w:marTop w:val="0"/>
          <w:marBottom w:val="0"/>
          <w:divBdr>
            <w:top w:val="none" w:sz="0" w:space="0" w:color="auto"/>
            <w:left w:val="none" w:sz="0" w:space="0" w:color="auto"/>
            <w:bottom w:val="none" w:sz="0" w:space="0" w:color="auto"/>
            <w:right w:val="none" w:sz="0" w:space="0" w:color="auto"/>
          </w:divBdr>
        </w:div>
        <w:div w:id="850529552">
          <w:marLeft w:val="0"/>
          <w:marRight w:val="0"/>
          <w:marTop w:val="0"/>
          <w:marBottom w:val="0"/>
          <w:divBdr>
            <w:top w:val="none" w:sz="0" w:space="0" w:color="auto"/>
            <w:left w:val="none" w:sz="0" w:space="0" w:color="auto"/>
            <w:bottom w:val="none" w:sz="0" w:space="0" w:color="auto"/>
            <w:right w:val="none" w:sz="0" w:space="0" w:color="auto"/>
          </w:divBdr>
        </w:div>
        <w:div w:id="864248702">
          <w:marLeft w:val="0"/>
          <w:marRight w:val="0"/>
          <w:marTop w:val="0"/>
          <w:marBottom w:val="0"/>
          <w:divBdr>
            <w:top w:val="none" w:sz="0" w:space="0" w:color="auto"/>
            <w:left w:val="none" w:sz="0" w:space="0" w:color="auto"/>
            <w:bottom w:val="none" w:sz="0" w:space="0" w:color="auto"/>
            <w:right w:val="none" w:sz="0" w:space="0" w:color="auto"/>
          </w:divBdr>
        </w:div>
        <w:div w:id="1041175939">
          <w:marLeft w:val="0"/>
          <w:marRight w:val="0"/>
          <w:marTop w:val="0"/>
          <w:marBottom w:val="0"/>
          <w:divBdr>
            <w:top w:val="none" w:sz="0" w:space="0" w:color="auto"/>
            <w:left w:val="none" w:sz="0" w:space="0" w:color="auto"/>
            <w:bottom w:val="none" w:sz="0" w:space="0" w:color="auto"/>
            <w:right w:val="none" w:sz="0" w:space="0" w:color="auto"/>
          </w:divBdr>
        </w:div>
        <w:div w:id="1046176178">
          <w:marLeft w:val="0"/>
          <w:marRight w:val="0"/>
          <w:marTop w:val="0"/>
          <w:marBottom w:val="0"/>
          <w:divBdr>
            <w:top w:val="none" w:sz="0" w:space="0" w:color="auto"/>
            <w:left w:val="none" w:sz="0" w:space="0" w:color="auto"/>
            <w:bottom w:val="none" w:sz="0" w:space="0" w:color="auto"/>
            <w:right w:val="none" w:sz="0" w:space="0" w:color="auto"/>
          </w:divBdr>
        </w:div>
        <w:div w:id="1455174410">
          <w:marLeft w:val="0"/>
          <w:marRight w:val="0"/>
          <w:marTop w:val="0"/>
          <w:marBottom w:val="0"/>
          <w:divBdr>
            <w:top w:val="none" w:sz="0" w:space="0" w:color="auto"/>
            <w:left w:val="none" w:sz="0" w:space="0" w:color="auto"/>
            <w:bottom w:val="none" w:sz="0" w:space="0" w:color="auto"/>
            <w:right w:val="none" w:sz="0" w:space="0" w:color="auto"/>
          </w:divBdr>
        </w:div>
        <w:div w:id="1468814705">
          <w:marLeft w:val="0"/>
          <w:marRight w:val="0"/>
          <w:marTop w:val="0"/>
          <w:marBottom w:val="0"/>
          <w:divBdr>
            <w:top w:val="none" w:sz="0" w:space="0" w:color="auto"/>
            <w:left w:val="none" w:sz="0" w:space="0" w:color="auto"/>
            <w:bottom w:val="none" w:sz="0" w:space="0" w:color="auto"/>
            <w:right w:val="none" w:sz="0" w:space="0" w:color="auto"/>
          </w:divBdr>
        </w:div>
        <w:div w:id="1750271255">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997805100">
          <w:marLeft w:val="0"/>
          <w:marRight w:val="0"/>
          <w:marTop w:val="0"/>
          <w:marBottom w:val="0"/>
          <w:divBdr>
            <w:top w:val="none" w:sz="0" w:space="0" w:color="auto"/>
            <w:left w:val="none" w:sz="0" w:space="0" w:color="auto"/>
            <w:bottom w:val="none" w:sz="0" w:space="0" w:color="auto"/>
            <w:right w:val="none" w:sz="0" w:space="0" w:color="auto"/>
          </w:divBdr>
        </w:div>
        <w:div w:id="1999990624">
          <w:marLeft w:val="0"/>
          <w:marRight w:val="0"/>
          <w:marTop w:val="0"/>
          <w:marBottom w:val="0"/>
          <w:divBdr>
            <w:top w:val="none" w:sz="0" w:space="0" w:color="auto"/>
            <w:left w:val="none" w:sz="0" w:space="0" w:color="auto"/>
            <w:bottom w:val="none" w:sz="0" w:space="0" w:color="auto"/>
            <w:right w:val="none" w:sz="0" w:space="0" w:color="auto"/>
          </w:divBdr>
        </w:div>
        <w:div w:id="2120761798">
          <w:marLeft w:val="0"/>
          <w:marRight w:val="0"/>
          <w:marTop w:val="0"/>
          <w:marBottom w:val="0"/>
          <w:divBdr>
            <w:top w:val="none" w:sz="0" w:space="0" w:color="auto"/>
            <w:left w:val="none" w:sz="0" w:space="0" w:color="auto"/>
            <w:bottom w:val="none" w:sz="0" w:space="0" w:color="auto"/>
            <w:right w:val="none" w:sz="0" w:space="0" w:color="auto"/>
          </w:divBdr>
        </w:div>
      </w:divsChild>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2026-04-23T19:26:00Z</dcterms:created>
  <dcterms:modified xsi:type="dcterms:W3CDTF">2026-04-23T19:30:00Z</dcterms:modified>
</cp:coreProperties>
</file>